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7D8F5"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7A5B1368"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130465E9"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2AC64921"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13F03448" w14:textId="47D0BD5A" w:rsidR="00712BC5" w:rsidRDefault="0040026D" w:rsidP="000F2AC9">
      <w:pPr>
        <w:pStyle w:val="10"/>
        <w:widowControl w:val="0"/>
        <w:pBdr>
          <w:top w:val="nil"/>
          <w:left w:val="nil"/>
          <w:bottom w:val="nil"/>
          <w:right w:val="nil"/>
          <w:between w:val="nil"/>
        </w:pBdr>
        <w:jc w:val="center"/>
        <w:rPr>
          <w:color w:val="000000"/>
          <w:sz w:val="24"/>
          <w:szCs w:val="24"/>
          <w:highlight w:val="white"/>
        </w:rPr>
      </w:pPr>
      <w:r>
        <w:rPr>
          <w:color w:val="000000"/>
          <w:sz w:val="24"/>
          <w:szCs w:val="24"/>
          <w:highlight w:val="white"/>
        </w:rPr>
        <w:t>місто Полтава</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813433" w:rsidRPr="002D0CB7">
        <w:rPr>
          <w:color w:val="000000"/>
          <w:sz w:val="24"/>
          <w:szCs w:val="24"/>
          <w:highlight w:val="white"/>
          <w:lang w:val="ru-RU"/>
        </w:rPr>
        <w:t>4</w:t>
      </w:r>
      <w:r w:rsidR="00BE5BD2">
        <w:rPr>
          <w:color w:val="000000"/>
          <w:sz w:val="24"/>
          <w:szCs w:val="24"/>
          <w:highlight w:val="white"/>
        </w:rPr>
        <w:t xml:space="preserve"> року</w:t>
      </w:r>
    </w:p>
    <w:p w14:paraId="011277F7"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3C90EEFC"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1F2D127E"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1F2B1BA8"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 xml:space="preserve">запис про державну реєстрацію якого </w:t>
      </w:r>
      <w:proofErr w:type="spellStart"/>
      <w:r>
        <w:rPr>
          <w:color w:val="000000"/>
          <w:sz w:val="28"/>
          <w:szCs w:val="28"/>
        </w:rPr>
        <w:t>внесено</w:t>
      </w:r>
      <w:proofErr w:type="spellEnd"/>
      <w:r>
        <w:rPr>
          <w:color w:val="000000"/>
          <w:sz w:val="28"/>
          <w:szCs w:val="28"/>
        </w:rPr>
        <w:t xml:space="preserve">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3D0B221"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084E7B60"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45DFCE1E" w14:textId="77777777" w:rsidR="00712BC5" w:rsidRDefault="00712BC5">
      <w:pPr>
        <w:pStyle w:val="10"/>
        <w:pBdr>
          <w:top w:val="nil"/>
          <w:left w:val="nil"/>
          <w:bottom w:val="nil"/>
          <w:right w:val="nil"/>
          <w:between w:val="nil"/>
        </w:pBdr>
        <w:jc w:val="both"/>
        <w:rPr>
          <w:color w:val="000000"/>
        </w:rPr>
      </w:pPr>
    </w:p>
    <w:p w14:paraId="35F3303D"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4D8E57BF"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68C90E14"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042E115A" w14:textId="77777777" w:rsidR="00712BC5" w:rsidRDefault="00712BC5">
      <w:pPr>
        <w:pStyle w:val="10"/>
        <w:pBdr>
          <w:top w:val="nil"/>
          <w:left w:val="nil"/>
          <w:bottom w:val="nil"/>
          <w:right w:val="nil"/>
          <w:between w:val="nil"/>
        </w:pBdr>
        <w:jc w:val="both"/>
        <w:rPr>
          <w:color w:val="000000"/>
          <w:sz w:val="24"/>
          <w:szCs w:val="24"/>
        </w:rPr>
      </w:pPr>
    </w:p>
    <w:p w14:paraId="765C5560" w14:textId="77777777" w:rsidR="0097563D" w:rsidRDefault="00BE5BD2" w:rsidP="007F2515">
      <w:pPr>
        <w:pStyle w:val="10"/>
        <w:pBdr>
          <w:top w:val="nil"/>
          <w:left w:val="nil"/>
          <w:bottom w:val="nil"/>
          <w:right w:val="nil"/>
          <w:between w:val="nil"/>
        </w:pBdr>
        <w:jc w:val="both"/>
        <w:rPr>
          <w:color w:val="000000"/>
          <w:sz w:val="24"/>
          <w:szCs w:val="24"/>
          <w:lang w:val="ru-RU"/>
        </w:rPr>
      </w:pPr>
      <w:r>
        <w:rPr>
          <w:color w:val="000000"/>
          <w:sz w:val="24"/>
          <w:szCs w:val="24"/>
        </w:rPr>
        <w:t>__________________________________________________</w:t>
      </w:r>
      <w:r w:rsidR="002D3372">
        <w:rPr>
          <w:color w:val="000000"/>
          <w:sz w:val="24"/>
          <w:szCs w:val="24"/>
        </w:rPr>
        <w:t xml:space="preserve"> </w:t>
      </w:r>
      <w:r>
        <w:rPr>
          <w:color w:val="000000"/>
          <w:sz w:val="28"/>
          <w:szCs w:val="28"/>
        </w:rPr>
        <w:t>(далі – Організатор аукціону),</w:t>
      </w:r>
      <w:r w:rsidR="0040026D">
        <w:rPr>
          <w:color w:val="000000"/>
          <w:sz w:val="24"/>
          <w:szCs w:val="24"/>
        </w:rPr>
        <w:t xml:space="preserve"> </w:t>
      </w:r>
      <w:r>
        <w:rPr>
          <w:color w:val="000000"/>
          <w:sz w:val="28"/>
          <w:szCs w:val="28"/>
        </w:rPr>
        <w:t>з однієї сторони, та</w:t>
      </w:r>
      <w:r>
        <w:rPr>
          <w:color w:val="000000"/>
          <w:sz w:val="24"/>
          <w:szCs w:val="24"/>
        </w:rPr>
        <w:t xml:space="preserve"> </w:t>
      </w:r>
    </w:p>
    <w:p w14:paraId="4F44401B" w14:textId="76A984D7" w:rsidR="00712BC5" w:rsidRPr="000C1F2C" w:rsidRDefault="002A6DCC" w:rsidP="005E09B0">
      <w:pPr>
        <w:pStyle w:val="10"/>
        <w:pBdr>
          <w:top w:val="nil"/>
          <w:left w:val="nil"/>
          <w:bottom w:val="nil"/>
          <w:right w:val="nil"/>
          <w:between w:val="nil"/>
        </w:pBdr>
        <w:ind w:firstLine="720"/>
        <w:jc w:val="both"/>
        <w:rPr>
          <w:color w:val="000000"/>
          <w:sz w:val="24"/>
          <w:szCs w:val="24"/>
        </w:rPr>
      </w:pPr>
      <w:r>
        <w:rPr>
          <w:b/>
          <w:color w:val="000000"/>
          <w:sz w:val="28"/>
          <w:szCs w:val="24"/>
        </w:rPr>
        <w:t>Товариство з обмеженою відповідальністю «</w:t>
      </w:r>
      <w:r w:rsidR="0040026D" w:rsidRPr="009572D6">
        <w:rPr>
          <w:b/>
          <w:color w:val="000000"/>
          <w:sz w:val="28"/>
          <w:szCs w:val="24"/>
        </w:rPr>
        <w:t>Українська універсальна біржа</w:t>
      </w:r>
      <w:r>
        <w:rPr>
          <w:b/>
          <w:color w:val="000000"/>
          <w:sz w:val="28"/>
          <w:szCs w:val="24"/>
        </w:rPr>
        <w:t>»</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25158707</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w:t>
      </w:r>
      <w:proofErr w:type="spellStart"/>
      <w:r w:rsidR="00BE5BD2">
        <w:rPr>
          <w:color w:val="000000"/>
          <w:sz w:val="28"/>
          <w:szCs w:val="28"/>
        </w:rPr>
        <w:t>внесено</w:t>
      </w:r>
      <w:proofErr w:type="spellEnd"/>
      <w:r w:rsidR="00BE5BD2">
        <w:rPr>
          <w:color w:val="000000"/>
          <w:sz w:val="28"/>
          <w:szCs w:val="28"/>
        </w:rPr>
        <w:t xml:space="preserve"> до Єдиного державного реєстру юридичних осіб, фізичних осіб – підприємців та громадських формувань, в особі </w:t>
      </w:r>
      <w:bookmarkStart w:id="0" w:name="_GoBack"/>
      <w:r w:rsidR="008E7286">
        <w:rPr>
          <w:color w:val="000000"/>
          <w:sz w:val="28"/>
          <w:szCs w:val="28"/>
        </w:rPr>
        <w:t>Заступника директора</w:t>
      </w:r>
      <w:r w:rsidR="008E7286">
        <w:rPr>
          <w:color w:val="000000"/>
          <w:sz w:val="28"/>
          <w:szCs w:val="24"/>
          <w:lang w:val="ru-RU"/>
        </w:rPr>
        <w:t xml:space="preserve"> Михайленко </w:t>
      </w:r>
      <w:r w:rsidR="008E7286" w:rsidRPr="008E7286">
        <w:rPr>
          <w:color w:val="000000"/>
          <w:sz w:val="28"/>
          <w:szCs w:val="24"/>
        </w:rPr>
        <w:t>Вікторії Вікторівни</w:t>
      </w:r>
      <w:r w:rsidR="00E64A9B">
        <w:rPr>
          <w:color w:val="000000"/>
          <w:sz w:val="28"/>
          <w:szCs w:val="24"/>
        </w:rPr>
        <w:t>,</w:t>
      </w:r>
      <w:r w:rsidR="005E09B0" w:rsidRPr="005E09B0">
        <w:rPr>
          <w:color w:val="000000"/>
          <w:sz w:val="28"/>
          <w:szCs w:val="24"/>
        </w:rPr>
        <w:t xml:space="preserve"> яка діє на підставі Довіреності № </w:t>
      </w:r>
      <w:r w:rsidR="00813433" w:rsidRPr="002D0CB7">
        <w:rPr>
          <w:color w:val="000000"/>
          <w:sz w:val="28"/>
          <w:szCs w:val="24"/>
          <w:lang w:val="ru-RU"/>
        </w:rPr>
        <w:t>1</w:t>
      </w:r>
      <w:r w:rsidR="008E7286">
        <w:rPr>
          <w:color w:val="000000"/>
          <w:sz w:val="28"/>
          <w:szCs w:val="24"/>
          <w:lang w:val="ru-RU"/>
        </w:rPr>
        <w:t>4</w:t>
      </w:r>
      <w:r w:rsidR="005E09B0" w:rsidRPr="005E09B0">
        <w:rPr>
          <w:color w:val="000000"/>
          <w:sz w:val="28"/>
          <w:szCs w:val="24"/>
        </w:rPr>
        <w:t xml:space="preserve"> від </w:t>
      </w:r>
      <w:r w:rsidR="008E7286">
        <w:rPr>
          <w:color w:val="000000"/>
          <w:sz w:val="28"/>
          <w:szCs w:val="24"/>
          <w:lang w:val="ru-RU"/>
        </w:rPr>
        <w:t>02</w:t>
      </w:r>
      <w:r w:rsidR="00E35161">
        <w:rPr>
          <w:color w:val="000000"/>
          <w:sz w:val="28"/>
          <w:szCs w:val="24"/>
        </w:rPr>
        <w:t>.</w:t>
      </w:r>
      <w:r w:rsidR="00D86556">
        <w:rPr>
          <w:color w:val="000000"/>
          <w:sz w:val="28"/>
          <w:szCs w:val="24"/>
        </w:rPr>
        <w:t>0</w:t>
      </w:r>
      <w:r w:rsidR="008E7286">
        <w:rPr>
          <w:color w:val="000000"/>
          <w:sz w:val="28"/>
          <w:szCs w:val="24"/>
        </w:rPr>
        <w:t>1</w:t>
      </w:r>
      <w:r w:rsidR="00E35161">
        <w:rPr>
          <w:color w:val="000000"/>
          <w:sz w:val="28"/>
          <w:szCs w:val="24"/>
        </w:rPr>
        <w:t>.202</w:t>
      </w:r>
      <w:r w:rsidR="00813433" w:rsidRPr="002D0CB7">
        <w:rPr>
          <w:color w:val="000000"/>
          <w:sz w:val="28"/>
          <w:szCs w:val="24"/>
          <w:lang w:val="ru-RU"/>
        </w:rPr>
        <w:t>4</w:t>
      </w:r>
      <w:r w:rsidR="005E09B0" w:rsidRPr="005E09B0">
        <w:rPr>
          <w:color w:val="000000"/>
          <w:sz w:val="28"/>
          <w:szCs w:val="24"/>
        </w:rPr>
        <w:t xml:space="preserve"> року</w:t>
      </w:r>
      <w:r w:rsidR="007F2515">
        <w:rPr>
          <w:color w:val="000000"/>
          <w:sz w:val="24"/>
          <w:szCs w:val="24"/>
        </w:rPr>
        <w:t xml:space="preserve"> </w:t>
      </w:r>
      <w:bookmarkEnd w:id="0"/>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proofErr w:type="spellStart"/>
      <w:r w:rsidR="000C1F2C">
        <w:rPr>
          <w:color w:val="000000"/>
          <w:sz w:val="28"/>
          <w:szCs w:val="24"/>
          <w:lang w:val="en-US"/>
        </w:rPr>
        <w:t>ProZorro</w:t>
      </w:r>
      <w:proofErr w:type="spellEnd"/>
      <w:r w:rsidR="000C1F2C">
        <w:rPr>
          <w:color w:val="000000"/>
          <w:sz w:val="28"/>
          <w:szCs w:val="24"/>
        </w:rPr>
        <w:t xml:space="preserve">.Продажі» ЦБД2 №11 від 18 липня 2018 року </w:t>
      </w:r>
      <w:r w:rsidR="0040026D">
        <w:rPr>
          <w:color w:val="000000"/>
        </w:rPr>
        <w:t xml:space="preserve"> </w:t>
      </w:r>
      <w:r w:rsidR="00BE5BD2">
        <w:rPr>
          <w:color w:val="000000"/>
          <w:sz w:val="28"/>
          <w:szCs w:val="28"/>
        </w:rPr>
        <w:t xml:space="preserve">(далі – Сторони),  </w:t>
      </w:r>
    </w:p>
    <w:p w14:paraId="085C2BF2"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530E981D"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71EE6906" w14:textId="77777777" w:rsidR="00712BC5" w:rsidRDefault="00712BC5">
      <w:pPr>
        <w:pStyle w:val="10"/>
        <w:pBdr>
          <w:top w:val="nil"/>
          <w:left w:val="nil"/>
          <w:bottom w:val="nil"/>
          <w:right w:val="nil"/>
          <w:between w:val="nil"/>
        </w:pBdr>
        <w:ind w:firstLine="708"/>
        <w:jc w:val="both"/>
        <w:rPr>
          <w:color w:val="000000"/>
          <w:sz w:val="24"/>
          <w:szCs w:val="24"/>
        </w:rPr>
      </w:pPr>
    </w:p>
    <w:p w14:paraId="623FF8DF"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4B3B8037"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4B2ABD3"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1" w:name="n272"/>
      <w:bookmarkEnd w:id="1"/>
      <w:r w:rsidR="00AC5505" w:rsidRPr="0040026D">
        <w:rPr>
          <w:sz w:val="28"/>
          <w:szCs w:val="28"/>
          <w:lang w:eastAsia="ru-RU"/>
        </w:rPr>
        <w:t xml:space="preserve">, аукціоні без умов, </w:t>
      </w:r>
      <w:bookmarkStart w:id="2" w:name="n273"/>
      <w:bookmarkEnd w:id="2"/>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w:t>
      </w:r>
      <w:r w:rsidRPr="0040026D">
        <w:rPr>
          <w:color w:val="000000"/>
          <w:sz w:val="28"/>
          <w:szCs w:val="28"/>
          <w:highlight w:val="white"/>
        </w:rPr>
        <w:lastRenderedPageBreak/>
        <w:t xml:space="preserve">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1576A26F" w14:textId="77777777" w:rsidR="003A37AF" w:rsidRDefault="003A37AF" w:rsidP="00AC5505">
      <w:pPr>
        <w:jc w:val="both"/>
        <w:textAlignment w:val="baseline"/>
        <w:rPr>
          <w:color w:val="000000"/>
          <w:sz w:val="28"/>
          <w:szCs w:val="28"/>
          <w:highlight w:val="white"/>
        </w:rPr>
      </w:pPr>
      <w:r>
        <w:rPr>
          <w:color w:val="000000"/>
          <w:sz w:val="28"/>
          <w:szCs w:val="28"/>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03423B91"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1EF3E8D8"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0E385EAC"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23949972"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16CF5D4B"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2C3AC689"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65DF49C3"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421DAF6E"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07DFF6E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360F39D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12A724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546ED5B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3B0A026F"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w:t>
      </w:r>
      <w:proofErr w:type="spellStart"/>
      <w:r>
        <w:rPr>
          <w:color w:val="000000"/>
          <w:sz w:val="28"/>
          <w:szCs w:val="28"/>
          <w:highlight w:val="white"/>
        </w:rPr>
        <w:t>акта</w:t>
      </w:r>
      <w:proofErr w:type="spellEnd"/>
      <w:r>
        <w:rPr>
          <w:color w:val="000000"/>
          <w:sz w:val="28"/>
          <w:szCs w:val="28"/>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0A0C34A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114D3D85"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5B3DD009"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lastRenderedPageBreak/>
        <w:t xml:space="preserve">загальнодоступність та рівні умови для всіх </w:t>
      </w:r>
      <w:r>
        <w:rPr>
          <w:color w:val="000000"/>
          <w:sz w:val="28"/>
          <w:szCs w:val="28"/>
        </w:rPr>
        <w:t>учасників аукціону електронного майданчика;</w:t>
      </w:r>
    </w:p>
    <w:p w14:paraId="6D62D65D"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розміщення інформаційних повідомлень про продаж об’єктів малої приватизації на своєму веб-сайті;</w:t>
      </w:r>
    </w:p>
    <w:p w14:paraId="03C6999C"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74FFB7D5"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113C4F22"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51B47C6E"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141660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398D68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0FB4F4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441C39F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9E8B24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3F0BB1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3EA42F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w:t>
      </w:r>
      <w:r>
        <w:rPr>
          <w:color w:val="000000"/>
          <w:sz w:val="28"/>
          <w:szCs w:val="28"/>
          <w:highlight w:val="white"/>
        </w:rPr>
        <w:lastRenderedPageBreak/>
        <w:t xml:space="preserve">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BBDF7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01CC8201"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1DA4230D"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3CE17687"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308CEA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290CA842"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659FC69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3D91734E" w14:textId="77777777" w:rsidR="00712BC5" w:rsidRDefault="00712BC5">
      <w:pPr>
        <w:pStyle w:val="10"/>
        <w:pBdr>
          <w:top w:val="nil"/>
          <w:left w:val="nil"/>
          <w:bottom w:val="nil"/>
          <w:right w:val="nil"/>
          <w:between w:val="nil"/>
        </w:pBdr>
        <w:ind w:firstLine="720"/>
        <w:jc w:val="both"/>
        <w:rPr>
          <w:color w:val="000000"/>
          <w:sz w:val="24"/>
          <w:szCs w:val="24"/>
        </w:rPr>
      </w:pPr>
    </w:p>
    <w:p w14:paraId="10014DE2"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1D1582B6"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5D444F04"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2098308F"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98BAB34"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4E33A7C8"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2EB87ED8"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76E7007A"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170A4AA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0DD8ACF"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 xml:space="preserve">ІV. СТРОК ДОГОВОРУ, УМОВИ ВНЕСЕННЯ ЗМІН ТА РОЗІРВАННЯ </w:t>
      </w:r>
      <w:r>
        <w:rPr>
          <w:b/>
          <w:color w:val="000000"/>
          <w:sz w:val="28"/>
          <w:szCs w:val="28"/>
          <w:highlight w:val="white"/>
        </w:rPr>
        <w:lastRenderedPageBreak/>
        <w:t>ДОГОВОРУ</w:t>
      </w:r>
    </w:p>
    <w:p w14:paraId="4E22E0E5"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1A85CA"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338B5819"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03BF760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631F8DD5"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4C91136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74A2F76A"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AFA8DE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69229C1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6FCA77D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4564655F"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3791C78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E9F591B"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722A5851"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5D8B10D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3B11D3DC"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35F96AE6"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3C86DA70"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1C76CF36"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14F7F9E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083AB7A3"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4FA39BD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lastRenderedPageBreak/>
        <w:tab/>
        <w:t>Протокол аукціону не затверджується Організатором аукціону у разі:</w:t>
      </w:r>
    </w:p>
    <w:p w14:paraId="529E66B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21D74BA1"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5B7D2E7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6C6C4FF0"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124399AF"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466B8CD7"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2706EBC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F8FD256"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5B850B0D"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1A05DB73"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6DC08991" w14:textId="77777777" w:rsidR="00712BC5" w:rsidRDefault="00712BC5">
      <w:pPr>
        <w:pStyle w:val="10"/>
        <w:pBdr>
          <w:top w:val="nil"/>
          <w:left w:val="nil"/>
          <w:bottom w:val="nil"/>
          <w:right w:val="nil"/>
          <w:between w:val="nil"/>
        </w:pBdr>
        <w:jc w:val="both"/>
        <w:rPr>
          <w:color w:val="000000"/>
          <w:sz w:val="28"/>
          <w:szCs w:val="28"/>
        </w:rPr>
      </w:pPr>
    </w:p>
    <w:p w14:paraId="0E6A61C3" w14:textId="77777777" w:rsidR="00712BC5" w:rsidRDefault="00712BC5">
      <w:pPr>
        <w:pStyle w:val="10"/>
        <w:pBdr>
          <w:top w:val="nil"/>
          <w:left w:val="nil"/>
          <w:bottom w:val="nil"/>
          <w:right w:val="nil"/>
          <w:between w:val="nil"/>
        </w:pBdr>
        <w:jc w:val="both"/>
        <w:rPr>
          <w:color w:val="000000"/>
          <w:sz w:val="28"/>
          <w:szCs w:val="28"/>
        </w:rPr>
      </w:pPr>
    </w:p>
    <w:p w14:paraId="2235207A"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6B2BA95B" w14:textId="77777777" w:rsidR="00712BC5" w:rsidRDefault="00712BC5">
      <w:pPr>
        <w:pStyle w:val="10"/>
        <w:pBdr>
          <w:top w:val="nil"/>
          <w:left w:val="nil"/>
          <w:bottom w:val="nil"/>
          <w:right w:val="nil"/>
          <w:between w:val="nil"/>
        </w:pBdr>
        <w:jc w:val="center"/>
        <w:rPr>
          <w:color w:val="000000"/>
        </w:rPr>
      </w:pPr>
    </w:p>
    <w:p w14:paraId="050CFB61"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26EFC756" w14:textId="77777777">
        <w:tc>
          <w:tcPr>
            <w:tcW w:w="4788" w:type="dxa"/>
          </w:tcPr>
          <w:p w14:paraId="5E145A54"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Організатор аукціону</w:t>
            </w:r>
          </w:p>
        </w:tc>
        <w:tc>
          <w:tcPr>
            <w:tcW w:w="5262" w:type="dxa"/>
          </w:tcPr>
          <w:p w14:paraId="4DDA3B28"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481C43EC" w14:textId="77777777" w:rsidR="007F2515" w:rsidRDefault="007F2515">
            <w:pPr>
              <w:pStyle w:val="10"/>
              <w:pBdr>
                <w:top w:val="nil"/>
                <w:left w:val="nil"/>
                <w:bottom w:val="nil"/>
                <w:right w:val="nil"/>
                <w:between w:val="nil"/>
              </w:pBdr>
              <w:jc w:val="center"/>
              <w:rPr>
                <w:b/>
                <w:color w:val="000000"/>
                <w:sz w:val="28"/>
                <w:szCs w:val="28"/>
              </w:rPr>
            </w:pPr>
          </w:p>
          <w:p w14:paraId="7F669F21" w14:textId="77777777" w:rsidR="007F2515" w:rsidRPr="009572D6" w:rsidRDefault="003279F2" w:rsidP="007F2515">
            <w:pPr>
              <w:pStyle w:val="10"/>
              <w:pBdr>
                <w:top w:val="nil"/>
                <w:left w:val="nil"/>
                <w:bottom w:val="nil"/>
                <w:right w:val="nil"/>
                <w:between w:val="nil"/>
              </w:pBdr>
              <w:rPr>
                <w:b/>
                <w:color w:val="000000"/>
                <w:sz w:val="28"/>
                <w:szCs w:val="28"/>
              </w:rPr>
            </w:pPr>
            <w:r>
              <w:rPr>
                <w:b/>
                <w:color w:val="000000"/>
                <w:sz w:val="28"/>
                <w:szCs w:val="28"/>
              </w:rPr>
              <w:t>ТОВ «</w:t>
            </w:r>
            <w:r w:rsidR="007F2515" w:rsidRPr="009572D6">
              <w:rPr>
                <w:b/>
                <w:color w:val="000000"/>
                <w:sz w:val="28"/>
                <w:szCs w:val="28"/>
              </w:rPr>
              <w:t>Українська універсальна біржа</w:t>
            </w:r>
            <w:r>
              <w:rPr>
                <w:b/>
                <w:color w:val="000000"/>
                <w:sz w:val="28"/>
                <w:szCs w:val="28"/>
              </w:rPr>
              <w:t>»</w:t>
            </w:r>
          </w:p>
          <w:p w14:paraId="1EF3B27F"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Код ЄДРПОУ: 25158707</w:t>
            </w:r>
          </w:p>
          <w:p w14:paraId="06136F3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Юридична та поштова адреса: 36039, м. Полтава, вул. Шевченка, 52</w:t>
            </w:r>
          </w:p>
          <w:p w14:paraId="329DF928" w14:textId="77777777" w:rsidR="00B702BC" w:rsidRDefault="00B702BC" w:rsidP="007F2515">
            <w:pPr>
              <w:pStyle w:val="10"/>
              <w:pBdr>
                <w:top w:val="nil"/>
                <w:left w:val="nil"/>
                <w:bottom w:val="nil"/>
                <w:right w:val="nil"/>
                <w:between w:val="nil"/>
              </w:pBdr>
              <w:rPr>
                <w:color w:val="000000"/>
                <w:sz w:val="28"/>
                <w:szCs w:val="28"/>
              </w:rPr>
            </w:pPr>
            <w:r w:rsidRPr="00B702BC">
              <w:rPr>
                <w:color w:val="000000"/>
                <w:sz w:val="28"/>
                <w:szCs w:val="28"/>
              </w:rPr>
              <w:t>IBAN UA51 3806 3400 0002 6006 0830 9500 1</w:t>
            </w:r>
          </w:p>
          <w:p w14:paraId="716C302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ІПН 251587016013</w:t>
            </w:r>
          </w:p>
          <w:p w14:paraId="5E7FF99E" w14:textId="77777777" w:rsidR="007F2515" w:rsidRPr="009572D6" w:rsidRDefault="007F2515" w:rsidP="007F2515">
            <w:pPr>
              <w:pStyle w:val="10"/>
              <w:pBdr>
                <w:top w:val="nil"/>
                <w:left w:val="nil"/>
                <w:bottom w:val="nil"/>
                <w:right w:val="nil"/>
                <w:between w:val="nil"/>
              </w:pBdr>
              <w:rPr>
                <w:color w:val="000000"/>
                <w:sz w:val="28"/>
                <w:szCs w:val="28"/>
              </w:rPr>
            </w:pPr>
            <w:proofErr w:type="spellStart"/>
            <w:r w:rsidRPr="009572D6">
              <w:rPr>
                <w:color w:val="000000"/>
                <w:sz w:val="28"/>
                <w:szCs w:val="28"/>
              </w:rPr>
              <w:t>тел</w:t>
            </w:r>
            <w:proofErr w:type="spellEnd"/>
            <w:r w:rsidRPr="009572D6">
              <w:rPr>
                <w:color w:val="000000"/>
                <w:sz w:val="28"/>
                <w:szCs w:val="28"/>
              </w:rPr>
              <w:t>. + 38 (044) 221-32-33</w:t>
            </w:r>
          </w:p>
          <w:p w14:paraId="6E981E1A" w14:textId="77777777" w:rsidR="007F2515" w:rsidRPr="009572D6" w:rsidRDefault="007F2515" w:rsidP="007F2515">
            <w:pPr>
              <w:pStyle w:val="10"/>
              <w:pBdr>
                <w:top w:val="nil"/>
                <w:left w:val="nil"/>
                <w:bottom w:val="nil"/>
                <w:right w:val="nil"/>
                <w:between w:val="nil"/>
              </w:pBdr>
              <w:rPr>
                <w:color w:val="000000"/>
                <w:sz w:val="28"/>
                <w:szCs w:val="28"/>
                <w:lang w:val="ru-RU"/>
              </w:rPr>
            </w:pPr>
            <w:proofErr w:type="spellStart"/>
            <w:r w:rsidRPr="009572D6">
              <w:rPr>
                <w:color w:val="000000"/>
                <w:sz w:val="28"/>
                <w:szCs w:val="28"/>
              </w:rPr>
              <w:t>ел</w:t>
            </w:r>
            <w:proofErr w:type="spellEnd"/>
            <w:r w:rsidRPr="009572D6">
              <w:rPr>
                <w:color w:val="000000"/>
                <w:sz w:val="28"/>
                <w:szCs w:val="28"/>
              </w:rPr>
              <w:t xml:space="preserve">. пошта </w:t>
            </w:r>
            <w:hyperlink r:id="rId7" w:history="1">
              <w:r w:rsidRPr="009572D6">
                <w:rPr>
                  <w:rStyle w:val="af2"/>
                  <w:sz w:val="28"/>
                  <w:szCs w:val="28"/>
                  <w:lang w:val="en-US"/>
                </w:rPr>
                <w:t>sale</w:t>
              </w:r>
              <w:r w:rsidRPr="009572D6">
                <w:rPr>
                  <w:rStyle w:val="af2"/>
                  <w:sz w:val="28"/>
                  <w:szCs w:val="28"/>
                  <w:lang w:val="ru-RU"/>
                </w:rPr>
                <w:t>@</w:t>
              </w:r>
              <w:proofErr w:type="spellStart"/>
              <w:r w:rsidRPr="009572D6">
                <w:rPr>
                  <w:rStyle w:val="af2"/>
                  <w:sz w:val="28"/>
                  <w:szCs w:val="28"/>
                  <w:lang w:val="en-US"/>
                </w:rPr>
                <w:t>uub</w:t>
              </w:r>
              <w:proofErr w:type="spellEnd"/>
              <w:r w:rsidRPr="009572D6">
                <w:rPr>
                  <w:rStyle w:val="af2"/>
                  <w:sz w:val="28"/>
                  <w:szCs w:val="28"/>
                  <w:lang w:val="ru-RU"/>
                </w:rPr>
                <w:t>.</w:t>
              </w:r>
              <w:r w:rsidRPr="009572D6">
                <w:rPr>
                  <w:rStyle w:val="af2"/>
                  <w:sz w:val="28"/>
                  <w:szCs w:val="28"/>
                  <w:lang w:val="en-US"/>
                </w:rPr>
                <w:t>com</w:t>
              </w:r>
              <w:r w:rsidRPr="009572D6">
                <w:rPr>
                  <w:rStyle w:val="af2"/>
                  <w:sz w:val="28"/>
                  <w:szCs w:val="28"/>
                  <w:lang w:val="ru-RU"/>
                </w:rPr>
                <w:t>.</w:t>
              </w:r>
              <w:proofErr w:type="spellStart"/>
              <w:r w:rsidRPr="009572D6">
                <w:rPr>
                  <w:rStyle w:val="af2"/>
                  <w:sz w:val="28"/>
                  <w:szCs w:val="28"/>
                  <w:lang w:val="en-US"/>
                </w:rPr>
                <w:t>ua</w:t>
              </w:r>
              <w:proofErr w:type="spellEnd"/>
            </w:hyperlink>
          </w:p>
          <w:p w14:paraId="5CC7C760" w14:textId="77777777" w:rsidR="007F2515" w:rsidRPr="0097563D" w:rsidRDefault="007F2515" w:rsidP="007F2515">
            <w:pPr>
              <w:pStyle w:val="10"/>
              <w:pBdr>
                <w:top w:val="nil"/>
                <w:left w:val="nil"/>
                <w:bottom w:val="nil"/>
                <w:right w:val="nil"/>
                <w:between w:val="nil"/>
              </w:pBdr>
              <w:rPr>
                <w:b/>
                <w:color w:val="000000"/>
                <w:sz w:val="28"/>
                <w:szCs w:val="28"/>
                <w:lang w:val="ru-RU"/>
              </w:rPr>
            </w:pPr>
          </w:p>
          <w:p w14:paraId="7738987F" w14:textId="31764A2F" w:rsidR="005E09B0" w:rsidRDefault="008E7286" w:rsidP="009572D6">
            <w:pPr>
              <w:pStyle w:val="10"/>
              <w:pBdr>
                <w:top w:val="nil"/>
                <w:left w:val="nil"/>
                <w:bottom w:val="nil"/>
                <w:right w:val="nil"/>
                <w:between w:val="nil"/>
              </w:pBdr>
              <w:rPr>
                <w:b/>
                <w:color w:val="000000"/>
                <w:sz w:val="28"/>
                <w:szCs w:val="28"/>
              </w:rPr>
            </w:pPr>
            <w:r>
              <w:rPr>
                <w:b/>
                <w:color w:val="000000"/>
                <w:sz w:val="28"/>
                <w:szCs w:val="28"/>
              </w:rPr>
              <w:t>Заступник директора</w:t>
            </w:r>
          </w:p>
          <w:p w14:paraId="513F2C2F" w14:textId="77777777" w:rsidR="005E09B0" w:rsidRDefault="005E09B0" w:rsidP="009572D6">
            <w:pPr>
              <w:pStyle w:val="10"/>
              <w:pBdr>
                <w:top w:val="nil"/>
                <w:left w:val="nil"/>
                <w:bottom w:val="nil"/>
                <w:right w:val="nil"/>
                <w:between w:val="nil"/>
              </w:pBdr>
              <w:rPr>
                <w:b/>
                <w:color w:val="000000"/>
                <w:sz w:val="28"/>
                <w:szCs w:val="28"/>
              </w:rPr>
            </w:pPr>
          </w:p>
          <w:p w14:paraId="7F8EDE36" w14:textId="43CFD2E3" w:rsidR="009572D6" w:rsidRPr="007F2515" w:rsidRDefault="009572D6" w:rsidP="009572D6">
            <w:pPr>
              <w:pStyle w:val="10"/>
              <w:pBdr>
                <w:top w:val="nil"/>
                <w:left w:val="nil"/>
                <w:bottom w:val="nil"/>
                <w:right w:val="nil"/>
                <w:between w:val="nil"/>
              </w:pBdr>
              <w:rPr>
                <w:color w:val="000000"/>
                <w:sz w:val="28"/>
                <w:szCs w:val="28"/>
              </w:rPr>
            </w:pPr>
            <w:r>
              <w:rPr>
                <w:b/>
                <w:color w:val="000000"/>
                <w:sz w:val="28"/>
                <w:szCs w:val="28"/>
              </w:rPr>
              <w:t xml:space="preserve">_________________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Михайленко</w:t>
            </w:r>
          </w:p>
        </w:tc>
      </w:tr>
    </w:tbl>
    <w:p w14:paraId="57BF02AF" w14:textId="77777777" w:rsidR="00E77E26" w:rsidRDefault="00E77E26" w:rsidP="00C065EF">
      <w:pPr>
        <w:pStyle w:val="10"/>
        <w:pBdr>
          <w:top w:val="nil"/>
          <w:left w:val="nil"/>
          <w:bottom w:val="nil"/>
          <w:right w:val="nil"/>
          <w:between w:val="nil"/>
        </w:pBdr>
        <w:ind w:left="3969"/>
        <w:rPr>
          <w:color w:val="000000"/>
          <w:sz w:val="28"/>
          <w:szCs w:val="28"/>
        </w:rPr>
      </w:pPr>
    </w:p>
    <w:p w14:paraId="55D6E89C" w14:textId="77777777" w:rsidR="00E77E26" w:rsidRDefault="00E77E26" w:rsidP="00C065EF">
      <w:pPr>
        <w:pStyle w:val="10"/>
        <w:pBdr>
          <w:top w:val="nil"/>
          <w:left w:val="nil"/>
          <w:bottom w:val="nil"/>
          <w:right w:val="nil"/>
          <w:between w:val="nil"/>
        </w:pBdr>
        <w:ind w:left="3969"/>
        <w:rPr>
          <w:color w:val="000000"/>
          <w:sz w:val="28"/>
          <w:szCs w:val="28"/>
        </w:rPr>
      </w:pPr>
    </w:p>
    <w:p w14:paraId="3F730443" w14:textId="77777777" w:rsidR="00F97923" w:rsidRDefault="00F97923" w:rsidP="00706A44">
      <w:pPr>
        <w:pStyle w:val="10"/>
        <w:pBdr>
          <w:top w:val="nil"/>
          <w:left w:val="nil"/>
          <w:bottom w:val="nil"/>
          <w:right w:val="nil"/>
          <w:between w:val="nil"/>
        </w:pBdr>
        <w:rPr>
          <w:color w:val="000000"/>
          <w:sz w:val="28"/>
          <w:szCs w:val="28"/>
        </w:rPr>
      </w:pPr>
    </w:p>
    <w:p w14:paraId="4BCFF86B" w14:textId="77777777" w:rsidR="008E7286" w:rsidRDefault="008E7286" w:rsidP="00C065EF">
      <w:pPr>
        <w:pStyle w:val="10"/>
        <w:pBdr>
          <w:top w:val="nil"/>
          <w:left w:val="nil"/>
          <w:bottom w:val="nil"/>
          <w:right w:val="nil"/>
          <w:between w:val="nil"/>
        </w:pBdr>
        <w:ind w:left="3969"/>
        <w:rPr>
          <w:color w:val="000000"/>
          <w:sz w:val="28"/>
          <w:szCs w:val="28"/>
        </w:rPr>
      </w:pPr>
    </w:p>
    <w:p w14:paraId="03113D6A" w14:textId="16DA327F" w:rsidR="00F740F6" w:rsidRPr="00C065EF" w:rsidRDefault="00C065EF" w:rsidP="00C065EF">
      <w:pPr>
        <w:pStyle w:val="10"/>
        <w:pBdr>
          <w:top w:val="nil"/>
          <w:left w:val="nil"/>
          <w:bottom w:val="nil"/>
          <w:right w:val="nil"/>
          <w:between w:val="nil"/>
        </w:pBdr>
        <w:ind w:left="3969"/>
        <w:rPr>
          <w:color w:val="000000"/>
          <w:sz w:val="28"/>
          <w:szCs w:val="28"/>
        </w:rPr>
      </w:pPr>
      <w:r w:rsidRPr="00C065EF">
        <w:rPr>
          <w:color w:val="000000"/>
          <w:sz w:val="28"/>
          <w:szCs w:val="28"/>
        </w:rPr>
        <w:lastRenderedPageBreak/>
        <w:t>Додаток № 1</w:t>
      </w:r>
    </w:p>
    <w:p w14:paraId="476DC846" w14:textId="6A2050BE" w:rsidR="00C065EF" w:rsidRPr="00C065EF" w:rsidRDefault="00C065EF" w:rsidP="00C065EF">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про проведення електронних 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813433" w:rsidRPr="002D0CB7">
        <w:rPr>
          <w:color w:val="000000"/>
          <w:sz w:val="28"/>
          <w:szCs w:val="28"/>
          <w:highlight w:val="white"/>
          <w:lang w:val="ru-RU"/>
        </w:rPr>
        <w:t>4</w:t>
      </w:r>
      <w:r w:rsidRPr="002D3372">
        <w:rPr>
          <w:color w:val="000000"/>
          <w:sz w:val="28"/>
          <w:szCs w:val="28"/>
          <w:highlight w:val="white"/>
        </w:rPr>
        <w:t xml:space="preserve"> року</w:t>
      </w:r>
    </w:p>
    <w:p w14:paraId="59A90B2F" w14:textId="77777777" w:rsidR="00C065EF" w:rsidRDefault="00C065EF" w:rsidP="002A5D55">
      <w:pPr>
        <w:pStyle w:val="10"/>
        <w:pBdr>
          <w:top w:val="nil"/>
          <w:left w:val="nil"/>
          <w:bottom w:val="nil"/>
          <w:right w:val="nil"/>
          <w:between w:val="nil"/>
        </w:pBdr>
        <w:rPr>
          <w:color w:val="000000"/>
          <w:sz w:val="28"/>
          <w:szCs w:val="28"/>
        </w:rPr>
      </w:pPr>
    </w:p>
    <w:p w14:paraId="451EEE2E"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 w14:paraId="4EA427F6"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4AB4FB11" w14:textId="77777777" w:rsidTr="00330634">
        <w:tc>
          <w:tcPr>
            <w:tcW w:w="496" w:type="dxa"/>
          </w:tcPr>
          <w:p w14:paraId="0A9DECA0" w14:textId="77777777" w:rsidR="00F740F6" w:rsidRDefault="00326EF3" w:rsidP="002A5D55">
            <w:pPr>
              <w:pStyle w:val="10"/>
              <w:rPr>
                <w:color w:val="000000"/>
                <w:sz w:val="28"/>
                <w:szCs w:val="28"/>
              </w:rPr>
            </w:pPr>
            <w:r>
              <w:rPr>
                <w:color w:val="000000"/>
                <w:sz w:val="28"/>
                <w:szCs w:val="28"/>
              </w:rPr>
              <w:t>№</w:t>
            </w:r>
          </w:p>
        </w:tc>
        <w:tc>
          <w:tcPr>
            <w:tcW w:w="2056" w:type="dxa"/>
          </w:tcPr>
          <w:p w14:paraId="678B6AF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6A92C849"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1C1A9AD3"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proofErr w:type="spellStart"/>
            <w:r>
              <w:rPr>
                <w:color w:val="000000"/>
                <w:sz w:val="28"/>
                <w:szCs w:val="28"/>
              </w:rPr>
              <w:t>єктів</w:t>
            </w:r>
            <w:proofErr w:type="spellEnd"/>
            <w:r>
              <w:rPr>
                <w:color w:val="000000"/>
                <w:sz w:val="28"/>
                <w:szCs w:val="28"/>
              </w:rPr>
              <w:t xml:space="preserve"> незавершеного будівництва) /</w:t>
            </w:r>
          </w:p>
          <w:p w14:paraId="43B23F42"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2831A011"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12D684E5"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6DFAF5F8" w14:textId="77777777" w:rsidTr="00330634">
        <w:tc>
          <w:tcPr>
            <w:tcW w:w="496" w:type="dxa"/>
          </w:tcPr>
          <w:p w14:paraId="1C1085A8" w14:textId="77777777" w:rsidR="00F740F6" w:rsidRDefault="00C065EF" w:rsidP="002A5D55">
            <w:pPr>
              <w:pStyle w:val="10"/>
              <w:rPr>
                <w:color w:val="000000"/>
                <w:sz w:val="28"/>
                <w:szCs w:val="28"/>
              </w:rPr>
            </w:pPr>
            <w:r>
              <w:rPr>
                <w:color w:val="000000"/>
                <w:sz w:val="28"/>
                <w:szCs w:val="28"/>
              </w:rPr>
              <w:t>1</w:t>
            </w:r>
          </w:p>
        </w:tc>
        <w:tc>
          <w:tcPr>
            <w:tcW w:w="2056" w:type="dxa"/>
          </w:tcPr>
          <w:p w14:paraId="40E446A3" w14:textId="77777777" w:rsidR="00F740F6" w:rsidRDefault="00F740F6" w:rsidP="002A5D55">
            <w:pPr>
              <w:pStyle w:val="10"/>
              <w:rPr>
                <w:color w:val="000000"/>
                <w:sz w:val="28"/>
                <w:szCs w:val="28"/>
              </w:rPr>
            </w:pPr>
          </w:p>
        </w:tc>
        <w:tc>
          <w:tcPr>
            <w:tcW w:w="1418" w:type="dxa"/>
          </w:tcPr>
          <w:p w14:paraId="1076B56F" w14:textId="77777777" w:rsidR="00F740F6" w:rsidRDefault="00F740F6" w:rsidP="002A5D55">
            <w:pPr>
              <w:pStyle w:val="10"/>
              <w:rPr>
                <w:color w:val="000000"/>
                <w:sz w:val="28"/>
                <w:szCs w:val="28"/>
              </w:rPr>
            </w:pPr>
          </w:p>
        </w:tc>
        <w:tc>
          <w:tcPr>
            <w:tcW w:w="2905" w:type="dxa"/>
          </w:tcPr>
          <w:p w14:paraId="351B0B1D" w14:textId="77777777" w:rsidR="00F740F6" w:rsidRDefault="00F740F6" w:rsidP="002A5D55">
            <w:pPr>
              <w:pStyle w:val="10"/>
              <w:rPr>
                <w:color w:val="000000"/>
                <w:sz w:val="28"/>
                <w:szCs w:val="28"/>
              </w:rPr>
            </w:pPr>
          </w:p>
        </w:tc>
        <w:tc>
          <w:tcPr>
            <w:tcW w:w="1572" w:type="dxa"/>
          </w:tcPr>
          <w:p w14:paraId="69861C51" w14:textId="77777777" w:rsidR="00F740F6" w:rsidRDefault="00F740F6" w:rsidP="002A5D55">
            <w:pPr>
              <w:pStyle w:val="10"/>
              <w:rPr>
                <w:color w:val="000000"/>
                <w:sz w:val="28"/>
                <w:szCs w:val="28"/>
              </w:rPr>
            </w:pPr>
          </w:p>
        </w:tc>
        <w:tc>
          <w:tcPr>
            <w:tcW w:w="1725" w:type="dxa"/>
          </w:tcPr>
          <w:p w14:paraId="58F945E3" w14:textId="77777777" w:rsidR="00F740F6" w:rsidRDefault="00F740F6" w:rsidP="002A5D55">
            <w:pPr>
              <w:pStyle w:val="10"/>
              <w:rPr>
                <w:color w:val="000000"/>
                <w:sz w:val="28"/>
                <w:szCs w:val="28"/>
              </w:rPr>
            </w:pPr>
          </w:p>
        </w:tc>
      </w:tr>
      <w:tr w:rsidR="00326EF3" w14:paraId="553841DE" w14:textId="77777777" w:rsidTr="00330634">
        <w:tc>
          <w:tcPr>
            <w:tcW w:w="496" w:type="dxa"/>
          </w:tcPr>
          <w:p w14:paraId="4FBB297F" w14:textId="77777777" w:rsidR="00F740F6" w:rsidRDefault="00C065EF" w:rsidP="002A5D55">
            <w:pPr>
              <w:pStyle w:val="10"/>
              <w:rPr>
                <w:color w:val="000000"/>
                <w:sz w:val="28"/>
                <w:szCs w:val="28"/>
              </w:rPr>
            </w:pPr>
            <w:r>
              <w:rPr>
                <w:color w:val="000000"/>
                <w:sz w:val="28"/>
                <w:szCs w:val="28"/>
              </w:rPr>
              <w:t>2</w:t>
            </w:r>
          </w:p>
        </w:tc>
        <w:tc>
          <w:tcPr>
            <w:tcW w:w="2056" w:type="dxa"/>
          </w:tcPr>
          <w:p w14:paraId="5A33D775" w14:textId="77777777" w:rsidR="00F740F6" w:rsidRDefault="00F740F6" w:rsidP="002A5D55">
            <w:pPr>
              <w:pStyle w:val="10"/>
              <w:rPr>
                <w:color w:val="000000"/>
                <w:sz w:val="28"/>
                <w:szCs w:val="28"/>
              </w:rPr>
            </w:pPr>
          </w:p>
        </w:tc>
        <w:tc>
          <w:tcPr>
            <w:tcW w:w="1418" w:type="dxa"/>
          </w:tcPr>
          <w:p w14:paraId="11DD9A0B" w14:textId="77777777" w:rsidR="00F740F6" w:rsidRDefault="00F740F6" w:rsidP="002A5D55">
            <w:pPr>
              <w:pStyle w:val="10"/>
              <w:rPr>
                <w:color w:val="000000"/>
                <w:sz w:val="28"/>
                <w:szCs w:val="28"/>
              </w:rPr>
            </w:pPr>
          </w:p>
        </w:tc>
        <w:tc>
          <w:tcPr>
            <w:tcW w:w="2905" w:type="dxa"/>
          </w:tcPr>
          <w:p w14:paraId="7D6B591B" w14:textId="77777777" w:rsidR="00F740F6" w:rsidRDefault="00F740F6" w:rsidP="002A5D55">
            <w:pPr>
              <w:pStyle w:val="10"/>
              <w:rPr>
                <w:color w:val="000000"/>
                <w:sz w:val="28"/>
                <w:szCs w:val="28"/>
              </w:rPr>
            </w:pPr>
          </w:p>
        </w:tc>
        <w:tc>
          <w:tcPr>
            <w:tcW w:w="1572" w:type="dxa"/>
          </w:tcPr>
          <w:p w14:paraId="1A465B18" w14:textId="77777777" w:rsidR="00F740F6" w:rsidRDefault="00F740F6" w:rsidP="002A5D55">
            <w:pPr>
              <w:pStyle w:val="10"/>
              <w:rPr>
                <w:color w:val="000000"/>
                <w:sz w:val="28"/>
                <w:szCs w:val="28"/>
              </w:rPr>
            </w:pPr>
          </w:p>
        </w:tc>
        <w:tc>
          <w:tcPr>
            <w:tcW w:w="1725" w:type="dxa"/>
          </w:tcPr>
          <w:p w14:paraId="18216BFB" w14:textId="77777777" w:rsidR="00F740F6" w:rsidRDefault="00F740F6" w:rsidP="002A5D55">
            <w:pPr>
              <w:pStyle w:val="10"/>
              <w:rPr>
                <w:color w:val="000000"/>
                <w:sz w:val="28"/>
                <w:szCs w:val="28"/>
              </w:rPr>
            </w:pPr>
          </w:p>
        </w:tc>
      </w:tr>
      <w:tr w:rsidR="00326EF3" w14:paraId="53A26195" w14:textId="77777777" w:rsidTr="00330634">
        <w:tc>
          <w:tcPr>
            <w:tcW w:w="496" w:type="dxa"/>
          </w:tcPr>
          <w:p w14:paraId="6A43B8A3" w14:textId="77777777" w:rsidR="00F740F6" w:rsidRDefault="00C065EF" w:rsidP="002A5D55">
            <w:pPr>
              <w:pStyle w:val="10"/>
              <w:rPr>
                <w:color w:val="000000"/>
                <w:sz w:val="28"/>
                <w:szCs w:val="28"/>
              </w:rPr>
            </w:pPr>
            <w:r>
              <w:rPr>
                <w:color w:val="000000"/>
                <w:sz w:val="28"/>
                <w:szCs w:val="28"/>
              </w:rPr>
              <w:t>3</w:t>
            </w:r>
          </w:p>
        </w:tc>
        <w:tc>
          <w:tcPr>
            <w:tcW w:w="2056" w:type="dxa"/>
          </w:tcPr>
          <w:p w14:paraId="430F40FF" w14:textId="77777777" w:rsidR="00F740F6" w:rsidRDefault="00F740F6" w:rsidP="002A5D55">
            <w:pPr>
              <w:pStyle w:val="10"/>
              <w:rPr>
                <w:color w:val="000000"/>
                <w:sz w:val="28"/>
                <w:szCs w:val="28"/>
              </w:rPr>
            </w:pPr>
          </w:p>
        </w:tc>
        <w:tc>
          <w:tcPr>
            <w:tcW w:w="1418" w:type="dxa"/>
          </w:tcPr>
          <w:p w14:paraId="3B3D532C" w14:textId="77777777" w:rsidR="00F740F6" w:rsidRDefault="00F740F6" w:rsidP="002A5D55">
            <w:pPr>
              <w:pStyle w:val="10"/>
              <w:rPr>
                <w:color w:val="000000"/>
                <w:sz w:val="28"/>
                <w:szCs w:val="28"/>
              </w:rPr>
            </w:pPr>
          </w:p>
        </w:tc>
        <w:tc>
          <w:tcPr>
            <w:tcW w:w="2905" w:type="dxa"/>
          </w:tcPr>
          <w:p w14:paraId="3AACA556" w14:textId="77777777" w:rsidR="00F740F6" w:rsidRDefault="00F740F6" w:rsidP="002A5D55">
            <w:pPr>
              <w:pStyle w:val="10"/>
              <w:rPr>
                <w:color w:val="000000"/>
                <w:sz w:val="28"/>
                <w:szCs w:val="28"/>
              </w:rPr>
            </w:pPr>
          </w:p>
        </w:tc>
        <w:tc>
          <w:tcPr>
            <w:tcW w:w="1572" w:type="dxa"/>
          </w:tcPr>
          <w:p w14:paraId="0C4FB2BB" w14:textId="77777777" w:rsidR="00F740F6" w:rsidRDefault="00F740F6" w:rsidP="002A5D55">
            <w:pPr>
              <w:pStyle w:val="10"/>
              <w:rPr>
                <w:color w:val="000000"/>
                <w:sz w:val="28"/>
                <w:szCs w:val="28"/>
              </w:rPr>
            </w:pPr>
          </w:p>
        </w:tc>
        <w:tc>
          <w:tcPr>
            <w:tcW w:w="1725" w:type="dxa"/>
          </w:tcPr>
          <w:p w14:paraId="68886548" w14:textId="77777777" w:rsidR="00F740F6" w:rsidRDefault="00F740F6" w:rsidP="002A5D55">
            <w:pPr>
              <w:pStyle w:val="10"/>
              <w:rPr>
                <w:color w:val="000000"/>
                <w:sz w:val="28"/>
                <w:szCs w:val="28"/>
              </w:rPr>
            </w:pPr>
          </w:p>
        </w:tc>
      </w:tr>
      <w:tr w:rsidR="00C065EF" w14:paraId="558BBC4B" w14:textId="77777777" w:rsidTr="00330634">
        <w:trPr>
          <w:trHeight w:val="414"/>
        </w:trPr>
        <w:tc>
          <w:tcPr>
            <w:tcW w:w="496" w:type="dxa"/>
          </w:tcPr>
          <w:p w14:paraId="17867696" w14:textId="77777777" w:rsidR="00C065EF" w:rsidRDefault="00C065EF" w:rsidP="002A5D55">
            <w:pPr>
              <w:pStyle w:val="10"/>
              <w:rPr>
                <w:color w:val="000000"/>
                <w:sz w:val="28"/>
                <w:szCs w:val="28"/>
              </w:rPr>
            </w:pPr>
            <w:r>
              <w:rPr>
                <w:color w:val="000000"/>
                <w:sz w:val="28"/>
                <w:szCs w:val="28"/>
              </w:rPr>
              <w:t>…</w:t>
            </w:r>
          </w:p>
        </w:tc>
        <w:tc>
          <w:tcPr>
            <w:tcW w:w="2056" w:type="dxa"/>
          </w:tcPr>
          <w:p w14:paraId="1C8009B9" w14:textId="77777777" w:rsidR="00C065EF" w:rsidRDefault="00C065EF" w:rsidP="002A5D55">
            <w:pPr>
              <w:pStyle w:val="10"/>
              <w:rPr>
                <w:color w:val="000000"/>
                <w:sz w:val="28"/>
                <w:szCs w:val="28"/>
              </w:rPr>
            </w:pPr>
          </w:p>
        </w:tc>
        <w:tc>
          <w:tcPr>
            <w:tcW w:w="1418" w:type="dxa"/>
          </w:tcPr>
          <w:p w14:paraId="7701BEA4" w14:textId="77777777" w:rsidR="00C065EF" w:rsidRDefault="00C065EF" w:rsidP="002A5D55">
            <w:pPr>
              <w:pStyle w:val="10"/>
              <w:rPr>
                <w:color w:val="000000"/>
                <w:sz w:val="28"/>
                <w:szCs w:val="28"/>
              </w:rPr>
            </w:pPr>
          </w:p>
        </w:tc>
        <w:tc>
          <w:tcPr>
            <w:tcW w:w="2905" w:type="dxa"/>
          </w:tcPr>
          <w:p w14:paraId="18FBA1E0" w14:textId="77777777" w:rsidR="00C065EF" w:rsidRDefault="00C065EF" w:rsidP="002A5D55">
            <w:pPr>
              <w:pStyle w:val="10"/>
              <w:rPr>
                <w:color w:val="000000"/>
                <w:sz w:val="28"/>
                <w:szCs w:val="28"/>
              </w:rPr>
            </w:pPr>
          </w:p>
        </w:tc>
        <w:tc>
          <w:tcPr>
            <w:tcW w:w="1572" w:type="dxa"/>
          </w:tcPr>
          <w:p w14:paraId="087DD171" w14:textId="77777777" w:rsidR="00C065EF" w:rsidRDefault="00C065EF" w:rsidP="002A5D55">
            <w:pPr>
              <w:pStyle w:val="10"/>
              <w:rPr>
                <w:color w:val="000000"/>
                <w:sz w:val="28"/>
                <w:szCs w:val="28"/>
              </w:rPr>
            </w:pPr>
          </w:p>
        </w:tc>
        <w:tc>
          <w:tcPr>
            <w:tcW w:w="1725" w:type="dxa"/>
          </w:tcPr>
          <w:p w14:paraId="5DD87EF7" w14:textId="77777777" w:rsidR="00C065EF" w:rsidRDefault="00C065EF" w:rsidP="002A5D55">
            <w:pPr>
              <w:pStyle w:val="10"/>
              <w:rPr>
                <w:color w:val="000000"/>
                <w:sz w:val="28"/>
                <w:szCs w:val="28"/>
              </w:rPr>
            </w:pPr>
          </w:p>
        </w:tc>
      </w:tr>
    </w:tbl>
    <w:p w14:paraId="6CC37F08"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E5A0E00" w14:textId="77777777" w:rsidTr="007F6005">
        <w:tc>
          <w:tcPr>
            <w:tcW w:w="4788" w:type="dxa"/>
          </w:tcPr>
          <w:p w14:paraId="22ED446D" w14:textId="77777777" w:rsidR="00713EEA" w:rsidRPr="00713EEA" w:rsidRDefault="00713EEA" w:rsidP="007F6005">
            <w:pPr>
              <w:pStyle w:val="10"/>
              <w:pBdr>
                <w:top w:val="nil"/>
                <w:left w:val="nil"/>
                <w:bottom w:val="nil"/>
                <w:right w:val="nil"/>
                <w:between w:val="nil"/>
              </w:pBdr>
              <w:jc w:val="center"/>
              <w:rPr>
                <w:color w:val="000000"/>
                <w:sz w:val="24"/>
                <w:szCs w:val="28"/>
              </w:rPr>
            </w:pPr>
            <w:r w:rsidRPr="00713EEA">
              <w:rPr>
                <w:b/>
                <w:color w:val="000000"/>
                <w:sz w:val="24"/>
                <w:szCs w:val="28"/>
              </w:rPr>
              <w:t>Організатор аукціону</w:t>
            </w:r>
          </w:p>
        </w:tc>
        <w:tc>
          <w:tcPr>
            <w:tcW w:w="5262" w:type="dxa"/>
          </w:tcPr>
          <w:p w14:paraId="0366E072"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1CBD1689" w14:textId="77777777" w:rsidR="00713EEA" w:rsidRPr="00713EEA" w:rsidRDefault="003804D9" w:rsidP="007F6005">
            <w:pPr>
              <w:pStyle w:val="10"/>
              <w:pBdr>
                <w:top w:val="nil"/>
                <w:left w:val="nil"/>
                <w:bottom w:val="nil"/>
                <w:right w:val="nil"/>
                <w:between w:val="nil"/>
              </w:pBdr>
              <w:rPr>
                <w:b/>
                <w:color w:val="000000"/>
                <w:sz w:val="24"/>
                <w:szCs w:val="28"/>
              </w:rPr>
            </w:pPr>
            <w:r>
              <w:rPr>
                <w:b/>
                <w:color w:val="000000"/>
                <w:sz w:val="24"/>
                <w:szCs w:val="28"/>
              </w:rPr>
              <w:t>ТОВ «</w:t>
            </w:r>
            <w:r w:rsidR="00713EEA" w:rsidRPr="00713EEA">
              <w:rPr>
                <w:b/>
                <w:color w:val="000000"/>
                <w:sz w:val="24"/>
                <w:szCs w:val="28"/>
              </w:rPr>
              <w:t>Українська універсальна біржа</w:t>
            </w:r>
            <w:r>
              <w:rPr>
                <w:b/>
                <w:color w:val="000000"/>
                <w:sz w:val="24"/>
                <w:szCs w:val="28"/>
              </w:rPr>
              <w:t>»</w:t>
            </w:r>
          </w:p>
          <w:p w14:paraId="1D16443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Код ЄДРПОУ: 25158707</w:t>
            </w:r>
          </w:p>
          <w:p w14:paraId="7A42A4AC"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Юридична та поштова адреса: 36039, м. Полтава, вул. Шевченка, 52</w:t>
            </w:r>
          </w:p>
          <w:p w14:paraId="69B4666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IBAN UA51 3806 3400 0002 6006 0830 9500 1</w:t>
            </w:r>
          </w:p>
          <w:p w14:paraId="48C84F82"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ІПН 251587016013</w:t>
            </w:r>
          </w:p>
          <w:p w14:paraId="479F17E0" w14:textId="77777777" w:rsidR="00713EEA" w:rsidRPr="00713EEA" w:rsidRDefault="00713EEA" w:rsidP="007F6005">
            <w:pPr>
              <w:pStyle w:val="10"/>
              <w:pBdr>
                <w:top w:val="nil"/>
                <w:left w:val="nil"/>
                <w:bottom w:val="nil"/>
                <w:right w:val="nil"/>
                <w:between w:val="nil"/>
              </w:pBdr>
              <w:rPr>
                <w:color w:val="000000"/>
                <w:sz w:val="24"/>
                <w:szCs w:val="28"/>
              </w:rPr>
            </w:pPr>
            <w:proofErr w:type="spellStart"/>
            <w:r w:rsidRPr="00713EEA">
              <w:rPr>
                <w:color w:val="000000"/>
                <w:sz w:val="24"/>
                <w:szCs w:val="28"/>
              </w:rPr>
              <w:t>тел</w:t>
            </w:r>
            <w:proofErr w:type="spellEnd"/>
            <w:r w:rsidRPr="00713EEA">
              <w:rPr>
                <w:color w:val="000000"/>
                <w:sz w:val="24"/>
                <w:szCs w:val="28"/>
              </w:rPr>
              <w:t>. + 38 (044) 221-32-33</w:t>
            </w:r>
          </w:p>
          <w:p w14:paraId="3D63CA8F" w14:textId="1B1BC50D" w:rsidR="00713EEA" w:rsidRDefault="00713EEA" w:rsidP="007F6005">
            <w:pPr>
              <w:pStyle w:val="10"/>
              <w:pBdr>
                <w:top w:val="nil"/>
                <w:left w:val="nil"/>
                <w:bottom w:val="nil"/>
                <w:right w:val="nil"/>
                <w:between w:val="nil"/>
              </w:pBdr>
              <w:rPr>
                <w:rStyle w:val="af2"/>
                <w:sz w:val="24"/>
                <w:szCs w:val="28"/>
                <w:lang w:val="en-US"/>
              </w:rPr>
            </w:pPr>
            <w:proofErr w:type="spellStart"/>
            <w:r w:rsidRPr="00713EEA">
              <w:rPr>
                <w:color w:val="000000"/>
                <w:sz w:val="24"/>
                <w:szCs w:val="28"/>
              </w:rPr>
              <w:t>ел</w:t>
            </w:r>
            <w:proofErr w:type="spellEnd"/>
            <w:r w:rsidRPr="00713EEA">
              <w:rPr>
                <w:color w:val="000000"/>
                <w:sz w:val="24"/>
                <w:szCs w:val="28"/>
              </w:rPr>
              <w:t xml:space="preserve">. пошта </w:t>
            </w:r>
            <w:hyperlink r:id="rId8" w:history="1">
              <w:r w:rsidRPr="00713EEA">
                <w:rPr>
                  <w:rStyle w:val="af2"/>
                  <w:sz w:val="24"/>
                  <w:szCs w:val="28"/>
                  <w:lang w:val="en-US"/>
                </w:rPr>
                <w:t>sale</w:t>
              </w:r>
              <w:r w:rsidRPr="00713EEA">
                <w:rPr>
                  <w:rStyle w:val="af2"/>
                  <w:sz w:val="24"/>
                  <w:szCs w:val="28"/>
                  <w:lang w:val="ru-RU"/>
                </w:rPr>
                <w:t>@</w:t>
              </w:r>
              <w:proofErr w:type="spellStart"/>
              <w:r w:rsidRPr="00713EEA">
                <w:rPr>
                  <w:rStyle w:val="af2"/>
                  <w:sz w:val="24"/>
                  <w:szCs w:val="28"/>
                  <w:lang w:val="en-US"/>
                </w:rPr>
                <w:t>uub</w:t>
              </w:r>
              <w:proofErr w:type="spellEnd"/>
              <w:r w:rsidRPr="00713EEA">
                <w:rPr>
                  <w:rStyle w:val="af2"/>
                  <w:sz w:val="24"/>
                  <w:szCs w:val="28"/>
                  <w:lang w:val="ru-RU"/>
                </w:rPr>
                <w:t>.</w:t>
              </w:r>
              <w:r w:rsidRPr="00713EEA">
                <w:rPr>
                  <w:rStyle w:val="af2"/>
                  <w:sz w:val="24"/>
                  <w:szCs w:val="28"/>
                  <w:lang w:val="en-US"/>
                </w:rPr>
                <w:t>com</w:t>
              </w:r>
              <w:r w:rsidRPr="00713EEA">
                <w:rPr>
                  <w:rStyle w:val="af2"/>
                  <w:sz w:val="24"/>
                  <w:szCs w:val="28"/>
                  <w:lang w:val="ru-RU"/>
                </w:rPr>
                <w:t>.</w:t>
              </w:r>
              <w:proofErr w:type="spellStart"/>
              <w:r w:rsidRPr="00713EEA">
                <w:rPr>
                  <w:rStyle w:val="af2"/>
                  <w:sz w:val="24"/>
                  <w:szCs w:val="28"/>
                  <w:lang w:val="en-US"/>
                </w:rPr>
                <w:t>ua</w:t>
              </w:r>
              <w:proofErr w:type="spellEnd"/>
            </w:hyperlink>
          </w:p>
          <w:p w14:paraId="136356BF" w14:textId="77777777" w:rsidR="008E7286" w:rsidRPr="00713EEA" w:rsidRDefault="008E7286" w:rsidP="007F6005">
            <w:pPr>
              <w:pStyle w:val="10"/>
              <w:pBdr>
                <w:top w:val="nil"/>
                <w:left w:val="nil"/>
                <w:bottom w:val="nil"/>
                <w:right w:val="nil"/>
                <w:between w:val="nil"/>
              </w:pBdr>
              <w:rPr>
                <w:color w:val="000000"/>
                <w:sz w:val="24"/>
                <w:szCs w:val="28"/>
                <w:lang w:val="ru-RU"/>
              </w:rPr>
            </w:pPr>
          </w:p>
          <w:p w14:paraId="1107039F" w14:textId="7C18F600" w:rsidR="00706A44" w:rsidRDefault="008E7286" w:rsidP="00706A44">
            <w:pPr>
              <w:pStyle w:val="10"/>
              <w:pBdr>
                <w:top w:val="nil"/>
                <w:left w:val="nil"/>
                <w:bottom w:val="nil"/>
                <w:right w:val="nil"/>
                <w:between w:val="nil"/>
              </w:pBdr>
              <w:rPr>
                <w:b/>
                <w:color w:val="000000"/>
                <w:sz w:val="28"/>
                <w:szCs w:val="28"/>
              </w:rPr>
            </w:pPr>
            <w:r>
              <w:rPr>
                <w:b/>
                <w:color w:val="000000"/>
                <w:sz w:val="28"/>
                <w:szCs w:val="28"/>
              </w:rPr>
              <w:t>Заступник директора</w:t>
            </w:r>
          </w:p>
          <w:p w14:paraId="2A880E12" w14:textId="77777777" w:rsidR="00706A44" w:rsidRDefault="00706A44" w:rsidP="007F6005">
            <w:pPr>
              <w:pStyle w:val="10"/>
              <w:pBdr>
                <w:top w:val="nil"/>
                <w:left w:val="nil"/>
                <w:bottom w:val="nil"/>
                <w:right w:val="nil"/>
                <w:between w:val="nil"/>
              </w:pBdr>
              <w:rPr>
                <w:b/>
                <w:color w:val="000000"/>
                <w:sz w:val="24"/>
                <w:szCs w:val="28"/>
              </w:rPr>
            </w:pPr>
          </w:p>
          <w:p w14:paraId="2E9A3E70" w14:textId="24BDA97C" w:rsidR="00713EEA" w:rsidRPr="00713EEA" w:rsidRDefault="00713EEA" w:rsidP="007F6005">
            <w:pPr>
              <w:pStyle w:val="10"/>
              <w:pBdr>
                <w:top w:val="nil"/>
                <w:left w:val="nil"/>
                <w:bottom w:val="nil"/>
                <w:right w:val="nil"/>
                <w:between w:val="nil"/>
              </w:pBdr>
              <w:rPr>
                <w:color w:val="000000"/>
                <w:sz w:val="24"/>
                <w:szCs w:val="28"/>
              </w:rPr>
            </w:pPr>
            <w:r w:rsidRPr="00713EEA">
              <w:rPr>
                <w:b/>
                <w:color w:val="000000"/>
                <w:sz w:val="24"/>
                <w:szCs w:val="28"/>
              </w:rPr>
              <w:t xml:space="preserve">_________________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Михайленко</w:t>
            </w:r>
          </w:p>
        </w:tc>
      </w:tr>
    </w:tbl>
    <w:p w14:paraId="0FD80280" w14:textId="77777777" w:rsidR="00C065EF" w:rsidRDefault="00C065EF" w:rsidP="00C065EF">
      <w:pPr>
        <w:pStyle w:val="10"/>
        <w:pBdr>
          <w:top w:val="nil"/>
          <w:left w:val="nil"/>
          <w:bottom w:val="nil"/>
          <w:right w:val="nil"/>
          <w:between w:val="nil"/>
        </w:pBdr>
        <w:rPr>
          <w:color w:val="000000"/>
          <w:sz w:val="28"/>
          <w:szCs w:val="28"/>
        </w:rPr>
      </w:pPr>
    </w:p>
    <w:sectPr w:rsidR="00C065EF" w:rsidSect="00712BC5">
      <w:head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C700B" w14:textId="77777777" w:rsidR="000C74DF" w:rsidRDefault="000C74DF" w:rsidP="00430447">
      <w:r>
        <w:separator/>
      </w:r>
    </w:p>
  </w:endnote>
  <w:endnote w:type="continuationSeparator" w:id="0">
    <w:p w14:paraId="67E523E1" w14:textId="77777777" w:rsidR="000C74DF" w:rsidRDefault="000C74DF"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36A4E" w14:textId="77777777" w:rsidR="000C74DF" w:rsidRDefault="000C74DF" w:rsidP="00430447">
      <w:r>
        <w:separator/>
      </w:r>
    </w:p>
  </w:footnote>
  <w:footnote w:type="continuationSeparator" w:id="0">
    <w:p w14:paraId="7340B952" w14:textId="77777777" w:rsidR="000C74DF" w:rsidRDefault="000C74DF"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17188"/>
      <w:docPartObj>
        <w:docPartGallery w:val="Page Numbers (Top of Page)"/>
        <w:docPartUnique/>
      </w:docPartObj>
    </w:sdtPr>
    <w:sdtEndPr/>
    <w:sdtContent>
      <w:p w14:paraId="77F9356F" w14:textId="77777777" w:rsidR="00430447" w:rsidRDefault="00084A6D">
        <w:pPr>
          <w:pStyle w:val="ae"/>
          <w:jc w:val="right"/>
        </w:pPr>
        <w:r>
          <w:fldChar w:fldCharType="begin"/>
        </w:r>
        <w:r>
          <w:instrText xml:space="preserve"> PAGE   \* MERGEFORMAT </w:instrText>
        </w:r>
        <w:r>
          <w:fldChar w:fldCharType="separate"/>
        </w:r>
        <w:r w:rsidR="00E77E26">
          <w:rPr>
            <w:noProof/>
          </w:rPr>
          <w:t>7</w:t>
        </w:r>
        <w:r>
          <w:rPr>
            <w:noProof/>
          </w:rPr>
          <w:fldChar w:fldCharType="end"/>
        </w:r>
      </w:p>
    </w:sdtContent>
  </w:sdt>
  <w:p w14:paraId="2E83D2F8"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5"/>
    <w:rsid w:val="00007802"/>
    <w:rsid w:val="00084A6D"/>
    <w:rsid w:val="000C1F2C"/>
    <w:rsid w:val="000C74DF"/>
    <w:rsid w:val="000F2AC9"/>
    <w:rsid w:val="00106900"/>
    <w:rsid w:val="00114549"/>
    <w:rsid w:val="0014770B"/>
    <w:rsid w:val="001663B2"/>
    <w:rsid w:val="001803C4"/>
    <w:rsid w:val="00276BE9"/>
    <w:rsid w:val="0029167C"/>
    <w:rsid w:val="002A5D55"/>
    <w:rsid w:val="002A6DCC"/>
    <w:rsid w:val="002D0CB7"/>
    <w:rsid w:val="002D3372"/>
    <w:rsid w:val="00326EF3"/>
    <w:rsid w:val="003279F2"/>
    <w:rsid w:val="00330634"/>
    <w:rsid w:val="00355804"/>
    <w:rsid w:val="003804D9"/>
    <w:rsid w:val="003A37AF"/>
    <w:rsid w:val="003C437C"/>
    <w:rsid w:val="004001C4"/>
    <w:rsid w:val="0040026D"/>
    <w:rsid w:val="00430447"/>
    <w:rsid w:val="0046735D"/>
    <w:rsid w:val="004C1F04"/>
    <w:rsid w:val="00556C85"/>
    <w:rsid w:val="005578A3"/>
    <w:rsid w:val="005670B7"/>
    <w:rsid w:val="005B6933"/>
    <w:rsid w:val="005E09B0"/>
    <w:rsid w:val="0062450F"/>
    <w:rsid w:val="006607C2"/>
    <w:rsid w:val="006C0A77"/>
    <w:rsid w:val="00706A44"/>
    <w:rsid w:val="00712BC5"/>
    <w:rsid w:val="00713EEA"/>
    <w:rsid w:val="00723FFE"/>
    <w:rsid w:val="007256D1"/>
    <w:rsid w:val="007B767C"/>
    <w:rsid w:val="007F2515"/>
    <w:rsid w:val="00813433"/>
    <w:rsid w:val="00831A9C"/>
    <w:rsid w:val="008E7286"/>
    <w:rsid w:val="009572D6"/>
    <w:rsid w:val="0097563D"/>
    <w:rsid w:val="009933D3"/>
    <w:rsid w:val="009E415A"/>
    <w:rsid w:val="00A4043A"/>
    <w:rsid w:val="00AA7F74"/>
    <w:rsid w:val="00AC5505"/>
    <w:rsid w:val="00B67001"/>
    <w:rsid w:val="00B702BC"/>
    <w:rsid w:val="00B80186"/>
    <w:rsid w:val="00BC27EA"/>
    <w:rsid w:val="00BD0348"/>
    <w:rsid w:val="00BE5BD2"/>
    <w:rsid w:val="00C065EF"/>
    <w:rsid w:val="00C21F1C"/>
    <w:rsid w:val="00C7696C"/>
    <w:rsid w:val="00CD5E23"/>
    <w:rsid w:val="00D86556"/>
    <w:rsid w:val="00DB3B31"/>
    <w:rsid w:val="00E02BCA"/>
    <w:rsid w:val="00E35161"/>
    <w:rsid w:val="00E64A9B"/>
    <w:rsid w:val="00E77E26"/>
    <w:rsid w:val="00E9069B"/>
    <w:rsid w:val="00EF6C25"/>
    <w:rsid w:val="00F11D3C"/>
    <w:rsid w:val="00F50C66"/>
    <w:rsid w:val="00F740F6"/>
    <w:rsid w:val="00F97923"/>
    <w:rsid w:val="00FC0A9C"/>
    <w:rsid w:val="00FE5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14D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ітки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у виносці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ій колонтитул Знак"/>
    <w:basedOn w:val="a1"/>
    <w:link w:val="ae"/>
    <w:uiPriority w:val="99"/>
    <w:rsid w:val="00430447"/>
  </w:style>
  <w:style w:type="paragraph" w:styleId="af0">
    <w:name w:val="footer"/>
    <w:basedOn w:val="a0"/>
    <w:link w:val="af1"/>
    <w:uiPriority w:val="99"/>
    <w:semiHidden/>
    <w:unhideWhenUsed/>
    <w:rsid w:val="00430447"/>
    <w:pPr>
      <w:tabs>
        <w:tab w:val="center" w:pos="4677"/>
        <w:tab w:val="right" w:pos="9355"/>
      </w:tabs>
    </w:pPr>
  </w:style>
  <w:style w:type="character" w:customStyle="1" w:styleId="af1">
    <w:name w:val="Нижній колонтитул Знак"/>
    <w:basedOn w:val="a1"/>
    <w:link w:val="af0"/>
    <w:uiPriority w:val="99"/>
    <w:semiHidden/>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mailto:sale@uub.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9260</Words>
  <Characters>5279</Characters>
  <Application>Microsoft Office Word</Application>
  <DocSecurity>0</DocSecurity>
  <Lines>43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Валерій Матевосян</cp:lastModifiedBy>
  <cp:revision>21</cp:revision>
  <dcterms:created xsi:type="dcterms:W3CDTF">2021-06-01T12:10:00Z</dcterms:created>
  <dcterms:modified xsi:type="dcterms:W3CDTF">2024-04-26T08:57:00Z</dcterms:modified>
</cp:coreProperties>
</file>