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4DA1F9F6"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BA574F">
        <w:rPr>
          <w:rFonts w:ascii="Times New Roman" w:eastAsia="Times New Roman" w:hAnsi="Times New Roman" w:cs="Times New Roman"/>
          <w:b/>
          <w:bCs/>
          <w:sz w:val="24"/>
          <w:szCs w:val="24"/>
          <w:lang w:eastAsia="ru-RU"/>
        </w:rPr>
        <w:t>3</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1FA1A731"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0A7E98">
        <w:rPr>
          <w:rFonts w:ascii="Times New Roman" w:eastAsia="Times New Roman" w:hAnsi="Times New Roman" w:cs="Times New Roman"/>
          <w:sz w:val="24"/>
          <w:szCs w:val="24"/>
          <w:lang w:val="uk-UA" w:eastAsia="ru-RU"/>
        </w:rPr>
        <w:t>Начальника Відділу Прозорро.Продажі Департаменту електронних аукціонів</w:t>
      </w:r>
      <w:r w:rsidR="00C74F70">
        <w:rPr>
          <w:rFonts w:ascii="Times New Roman" w:eastAsia="Times New Roman" w:hAnsi="Times New Roman" w:cs="Times New Roman"/>
          <w:sz w:val="24"/>
          <w:szCs w:val="24"/>
          <w:lang w:val="uk-UA" w:eastAsia="ru-RU"/>
        </w:rPr>
        <w:t xml:space="preserve"> </w:t>
      </w:r>
      <w:r w:rsidR="000A7E98">
        <w:rPr>
          <w:rFonts w:ascii="Times New Roman" w:eastAsia="Times New Roman" w:hAnsi="Times New Roman" w:cs="Times New Roman"/>
          <w:sz w:val="24"/>
          <w:szCs w:val="24"/>
          <w:lang w:val="uk-UA" w:eastAsia="ru-RU"/>
        </w:rPr>
        <w:t>Колісник</w:t>
      </w:r>
      <w:r w:rsidR="006F4E26">
        <w:rPr>
          <w:rFonts w:ascii="Times New Roman" w:eastAsia="Times New Roman" w:hAnsi="Times New Roman" w:cs="Times New Roman"/>
          <w:sz w:val="24"/>
          <w:szCs w:val="24"/>
          <w:lang w:val="uk-UA" w:eastAsia="ru-RU"/>
        </w:rPr>
        <w:t xml:space="preserve"> </w:t>
      </w:r>
      <w:r w:rsidR="000A7E98">
        <w:rPr>
          <w:rFonts w:ascii="Times New Roman" w:eastAsia="Times New Roman" w:hAnsi="Times New Roman" w:cs="Times New Roman"/>
          <w:sz w:val="24"/>
          <w:szCs w:val="24"/>
          <w:lang w:val="uk-UA" w:eastAsia="ru-RU"/>
        </w:rPr>
        <w:t>Анастасії</w:t>
      </w:r>
      <w:r w:rsidR="006F4E26">
        <w:rPr>
          <w:rFonts w:ascii="Times New Roman" w:eastAsia="Times New Roman" w:hAnsi="Times New Roman" w:cs="Times New Roman"/>
          <w:sz w:val="24"/>
          <w:szCs w:val="24"/>
          <w:lang w:val="uk-UA" w:eastAsia="ru-RU"/>
        </w:rPr>
        <w:t xml:space="preserve"> </w:t>
      </w:r>
      <w:r w:rsidR="000A7E98">
        <w:rPr>
          <w:rFonts w:ascii="Times New Roman" w:eastAsia="Times New Roman" w:hAnsi="Times New Roman" w:cs="Times New Roman"/>
          <w:sz w:val="24"/>
          <w:szCs w:val="24"/>
          <w:lang w:val="uk-UA" w:eastAsia="ru-RU"/>
        </w:rPr>
        <w:t>Сергіївни</w:t>
      </w:r>
      <w:r w:rsidR="000E73C9" w:rsidRPr="00666401">
        <w:rPr>
          <w:rFonts w:ascii="Times New Roman" w:eastAsia="Times New Roman" w:hAnsi="Times New Roman" w:cs="Times New Roman"/>
          <w:sz w:val="24"/>
          <w:szCs w:val="24"/>
          <w:lang w:val="uk-UA" w:eastAsia="ru-RU"/>
        </w:rPr>
        <w:t>, як</w:t>
      </w:r>
      <w:r w:rsidR="009B33F3">
        <w:rPr>
          <w:rFonts w:ascii="Times New Roman" w:eastAsia="Times New Roman" w:hAnsi="Times New Roman" w:cs="Times New Roman"/>
          <w:sz w:val="24"/>
          <w:szCs w:val="24"/>
          <w:lang w:val="uk-UA" w:eastAsia="ru-RU"/>
        </w:rPr>
        <w:t>а</w:t>
      </w:r>
      <w:r w:rsidR="000E73C9" w:rsidRPr="00666401">
        <w:rPr>
          <w:rFonts w:ascii="Times New Roman" w:eastAsia="Times New Roman" w:hAnsi="Times New Roman" w:cs="Times New Roman"/>
          <w:sz w:val="24"/>
          <w:szCs w:val="24"/>
          <w:lang w:val="uk-UA" w:eastAsia="ru-RU"/>
        </w:rPr>
        <w:t xml:space="preserve"> діє на підставі Довіреності №</w:t>
      </w:r>
      <w:r w:rsidR="00F04463">
        <w:rPr>
          <w:rFonts w:ascii="Times New Roman" w:eastAsia="Times New Roman" w:hAnsi="Times New Roman" w:cs="Times New Roman"/>
          <w:sz w:val="24"/>
          <w:szCs w:val="24"/>
          <w:lang w:val="uk-UA" w:eastAsia="ru-RU"/>
        </w:rPr>
        <w:t xml:space="preserve"> </w:t>
      </w:r>
      <w:r w:rsidR="000A7E98">
        <w:rPr>
          <w:rFonts w:ascii="Times New Roman" w:eastAsia="Times New Roman" w:hAnsi="Times New Roman" w:cs="Times New Roman"/>
          <w:sz w:val="24"/>
          <w:szCs w:val="24"/>
          <w:lang w:val="uk-UA" w:eastAsia="ru-RU"/>
        </w:rPr>
        <w:t>20</w:t>
      </w:r>
      <w:r w:rsidR="000E73C9" w:rsidRPr="00666401">
        <w:rPr>
          <w:rFonts w:ascii="Times New Roman" w:eastAsia="Times New Roman" w:hAnsi="Times New Roman" w:cs="Times New Roman"/>
          <w:sz w:val="24"/>
          <w:szCs w:val="24"/>
          <w:lang w:val="uk-UA" w:eastAsia="ru-RU"/>
        </w:rPr>
        <w:t xml:space="preserve"> від </w:t>
      </w:r>
      <w:r w:rsidR="00C74F70">
        <w:rPr>
          <w:rFonts w:ascii="Times New Roman" w:eastAsia="Times New Roman" w:hAnsi="Times New Roman" w:cs="Times New Roman"/>
          <w:sz w:val="24"/>
          <w:szCs w:val="24"/>
          <w:lang w:val="uk-UA" w:eastAsia="ru-RU"/>
        </w:rPr>
        <w:t>16</w:t>
      </w:r>
      <w:r w:rsidR="00931457">
        <w:rPr>
          <w:rFonts w:ascii="Times New Roman" w:eastAsia="Times New Roman" w:hAnsi="Times New Roman" w:cs="Times New Roman"/>
          <w:sz w:val="24"/>
          <w:szCs w:val="24"/>
          <w:lang w:val="uk-UA" w:eastAsia="ru-RU"/>
        </w:rPr>
        <w:t>.0</w:t>
      </w:r>
      <w:r w:rsidR="00C74F70">
        <w:rPr>
          <w:rFonts w:ascii="Times New Roman" w:eastAsia="Times New Roman" w:hAnsi="Times New Roman" w:cs="Times New Roman"/>
          <w:sz w:val="24"/>
          <w:szCs w:val="24"/>
          <w:lang w:val="uk-UA" w:eastAsia="ru-RU"/>
        </w:rPr>
        <w:t>2</w:t>
      </w:r>
      <w:r w:rsidR="00931457">
        <w:rPr>
          <w:rFonts w:ascii="Times New Roman" w:eastAsia="Times New Roman" w:hAnsi="Times New Roman" w:cs="Times New Roman"/>
          <w:sz w:val="24"/>
          <w:szCs w:val="24"/>
          <w:lang w:val="uk-UA" w:eastAsia="ru-RU"/>
        </w:rPr>
        <w:t>.202</w:t>
      </w:r>
      <w:r w:rsidR="00BA574F">
        <w:rPr>
          <w:rFonts w:ascii="Times New Roman" w:eastAsia="Times New Roman" w:hAnsi="Times New Roman" w:cs="Times New Roman"/>
          <w:sz w:val="24"/>
          <w:szCs w:val="24"/>
          <w:lang w:eastAsia="ru-RU"/>
        </w:rPr>
        <w:t>3</w:t>
      </w:r>
      <w:r w:rsidR="000E73C9" w:rsidRPr="00666401">
        <w:rPr>
          <w:rFonts w:ascii="Times New Roman" w:eastAsia="Times New Roman" w:hAnsi="Times New Roman" w:cs="Times New Roman"/>
          <w:sz w:val="24"/>
          <w:szCs w:val="24"/>
          <w:lang w:val="uk-UA" w:eastAsia="ru-RU"/>
        </w:rPr>
        <w:t xml:space="preserve">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77777777"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адресою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в т.ч.</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77777777" w:rsidR="00C94659" w:rsidRPr="00C94659"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C94659">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C94659">
        <w:rPr>
          <w:rFonts w:ascii="Times New Roman" w:eastAsia="Times New Roman" w:hAnsi="Times New Roman" w:cs="Times New Roman"/>
          <w:sz w:val="24"/>
          <w:szCs w:val="24"/>
          <w:lang w:val="uk-UA" w:eastAsia="ru-RU"/>
        </w:rPr>
        <w:t>ується виконувати Регламент</w:t>
      </w:r>
      <w:r w:rsidR="007B4D75" w:rsidRPr="00C94659">
        <w:rPr>
          <w:rFonts w:ascii="Times New Roman" w:eastAsia="Times New Roman" w:hAnsi="Times New Roman" w:cs="Times New Roman"/>
          <w:sz w:val="24"/>
          <w:szCs w:val="24"/>
          <w:lang w:val="uk-UA" w:eastAsia="ru-RU"/>
        </w:rPr>
        <w:t>и</w:t>
      </w:r>
      <w:r w:rsidR="00F04463" w:rsidRPr="00C94659">
        <w:rPr>
          <w:rFonts w:ascii="Times New Roman" w:eastAsia="Times New Roman" w:hAnsi="Times New Roman" w:cs="Times New Roman"/>
          <w:sz w:val="24"/>
          <w:szCs w:val="24"/>
          <w:lang w:val="uk-UA" w:eastAsia="ru-RU"/>
        </w:rPr>
        <w:t xml:space="preserve"> ЕТС</w:t>
      </w:r>
      <w:r w:rsidR="007B4D75" w:rsidRPr="00C94659">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Pr>
          <w:rFonts w:ascii="Times New Roman" w:eastAsia="Times New Roman" w:hAnsi="Times New Roman" w:cs="Times New Roman"/>
          <w:sz w:val="24"/>
          <w:szCs w:val="24"/>
          <w:lang w:val="uk-UA" w:eastAsia="ru-RU"/>
        </w:rPr>
        <w:t>/приймає</w:t>
      </w:r>
      <w:r w:rsidR="007B4D75" w:rsidRPr="00C94659">
        <w:rPr>
          <w:rFonts w:ascii="Times New Roman" w:eastAsia="Times New Roman" w:hAnsi="Times New Roman" w:cs="Times New Roman"/>
          <w:sz w:val="24"/>
          <w:szCs w:val="24"/>
          <w:lang w:val="uk-UA" w:eastAsia="ru-RU"/>
        </w:rPr>
        <w:t xml:space="preserve"> участь</w:t>
      </w:r>
      <w:r w:rsidR="00F04463" w:rsidRPr="00C94659">
        <w:rPr>
          <w:rFonts w:ascii="Times New Roman" w:eastAsia="Times New Roman" w:hAnsi="Times New Roman" w:cs="Times New Roman"/>
          <w:sz w:val="24"/>
          <w:szCs w:val="24"/>
          <w:lang w:val="uk-UA" w:eastAsia="ru-RU"/>
        </w:rPr>
        <w:t>.</w:t>
      </w:r>
      <w:r w:rsidRPr="00C94659">
        <w:rPr>
          <w:rFonts w:ascii="Times New Roman" w:eastAsia="Times New Roman" w:hAnsi="Times New Roman" w:cs="Times New Roman"/>
          <w:sz w:val="24"/>
          <w:szCs w:val="24"/>
          <w:lang w:val="uk-UA" w:eastAsia="ru-RU"/>
        </w:rPr>
        <w:t xml:space="preserve"> </w:t>
      </w:r>
      <w:r w:rsidR="000150BC">
        <w:rPr>
          <w:rFonts w:ascii="Times New Roman" w:eastAsia="Times New Roman" w:hAnsi="Times New Roman" w:cs="Times New Roman"/>
          <w:sz w:val="24"/>
          <w:szCs w:val="24"/>
          <w:lang w:val="uk-UA" w:eastAsia="ru-RU"/>
        </w:rPr>
        <w:t>Актуальні Р</w:t>
      </w:r>
      <w:r w:rsidR="007B4D75" w:rsidRPr="00C94659">
        <w:rPr>
          <w:rFonts w:ascii="Times New Roman" w:eastAsia="Times New Roman" w:hAnsi="Times New Roman" w:cs="Times New Roman"/>
          <w:sz w:val="24"/>
          <w:szCs w:val="24"/>
          <w:lang w:val="uk-UA" w:eastAsia="ru-RU"/>
        </w:rPr>
        <w:t>егламенти</w:t>
      </w:r>
      <w:r w:rsidRPr="00C94659">
        <w:rPr>
          <w:rFonts w:ascii="Times New Roman" w:eastAsia="Times New Roman" w:hAnsi="Times New Roman" w:cs="Times New Roman"/>
          <w:sz w:val="24"/>
          <w:szCs w:val="24"/>
          <w:lang w:val="uk-UA" w:eastAsia="ru-RU"/>
        </w:rPr>
        <w:t xml:space="preserve"> </w:t>
      </w:r>
      <w:r w:rsidR="00F04463" w:rsidRPr="00C94659">
        <w:rPr>
          <w:rFonts w:ascii="Times New Roman" w:eastAsia="Times New Roman" w:hAnsi="Times New Roman" w:cs="Times New Roman"/>
          <w:sz w:val="24"/>
          <w:szCs w:val="24"/>
          <w:lang w:val="uk-UA" w:eastAsia="ru-RU"/>
        </w:rPr>
        <w:t xml:space="preserve">ЕТС </w:t>
      </w:r>
      <w:r w:rsidRPr="00C94659">
        <w:rPr>
          <w:rFonts w:ascii="Times New Roman" w:eastAsia="Times New Roman" w:hAnsi="Times New Roman" w:cs="Times New Roman"/>
          <w:sz w:val="24"/>
          <w:szCs w:val="24"/>
          <w:lang w:val="uk-UA" w:eastAsia="ru-RU"/>
        </w:rPr>
        <w:t xml:space="preserve">розміщені </w:t>
      </w:r>
      <w:r w:rsidR="00C94659">
        <w:rPr>
          <w:rFonts w:ascii="Times New Roman" w:eastAsia="Times New Roman" w:hAnsi="Times New Roman" w:cs="Times New Roman"/>
          <w:sz w:val="24"/>
          <w:szCs w:val="24"/>
          <w:lang w:val="uk-UA" w:eastAsia="ru-RU"/>
        </w:rPr>
        <w:t xml:space="preserve">в ЕТС </w:t>
      </w:r>
      <w:r w:rsidRPr="00C94659">
        <w:rPr>
          <w:rFonts w:ascii="Times New Roman" w:eastAsia="Times New Roman" w:hAnsi="Times New Roman" w:cs="Times New Roman"/>
          <w:sz w:val="24"/>
          <w:szCs w:val="24"/>
          <w:lang w:val="uk-UA" w:eastAsia="ru-RU"/>
        </w:rPr>
        <w:t>у розділі «Регламент»</w:t>
      </w:r>
      <w:r w:rsidR="00C94659">
        <w:rPr>
          <w:rFonts w:ascii="Times New Roman" w:eastAsia="Times New Roman" w:hAnsi="Times New Roman" w:cs="Times New Roman"/>
          <w:sz w:val="24"/>
          <w:szCs w:val="24"/>
          <w:lang w:val="uk-UA" w:eastAsia="ru-RU"/>
        </w:rPr>
        <w:t xml:space="preserve"> за посиланням </w:t>
      </w:r>
      <w:r w:rsidR="00C94659" w:rsidRPr="00C94659">
        <w:t xml:space="preserve"> </w:t>
      </w:r>
      <w:hyperlink r:id="rId8" w:history="1">
        <w:r w:rsidR="00C94659" w:rsidRPr="003B3B89">
          <w:rPr>
            <w:rStyle w:val="a3"/>
            <w:rFonts w:ascii="Times New Roman" w:eastAsia="Times New Roman" w:hAnsi="Times New Roman" w:cs="Times New Roman"/>
            <w:sz w:val="24"/>
            <w:szCs w:val="24"/>
            <w:lang w:val="uk-UA" w:eastAsia="ru-RU"/>
          </w:rPr>
          <w:t>https://sale.uub.com.ua/reglament.aspx</w:t>
        </w:r>
      </w:hyperlink>
      <w:r w:rsidR="00C94659">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lastRenderedPageBreak/>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відповідає(ють)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r w:rsidR="009D4035">
        <w:rPr>
          <w:rFonts w:ascii="Times New Roman" w:hAnsi="Times New Roman"/>
          <w:b w:val="0"/>
          <w:sz w:val="24"/>
          <w:szCs w:val="24"/>
        </w:rPr>
        <w:t>обов</w:t>
      </w:r>
      <w:r w:rsidR="009D4035" w:rsidRPr="009D4035">
        <w:rPr>
          <w:rFonts w:ascii="Times New Roman" w:hAnsi="Times New Roman"/>
          <w:b w:val="0"/>
          <w:sz w:val="24"/>
          <w:szCs w:val="24"/>
          <w:lang w:val="ru-RU"/>
        </w:rPr>
        <w:t>’</w:t>
      </w:r>
      <w:r w:rsidR="00742F17">
        <w:rPr>
          <w:rFonts w:ascii="Times New Roman" w:hAnsi="Times New Roman"/>
          <w:b w:val="0"/>
          <w:sz w:val="24"/>
          <w:szCs w:val="24"/>
          <w:lang w:val="ru-RU"/>
        </w:rPr>
        <w:t xml:space="preserve">язковість сплати,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r w:rsidR="00EF3958" w:rsidRPr="008F0500">
          <w:rPr>
            <w:rStyle w:val="a3"/>
            <w:rFonts w:ascii="Times New Roman" w:eastAsia="Times New Roman" w:hAnsi="Times New Roman" w:cs="Times New Roman"/>
            <w:sz w:val="24"/>
            <w:szCs w:val="24"/>
            <w:lang w:val="en-US" w:eastAsia="ru-RU"/>
          </w:rPr>
          <w:t>uub</w:t>
        </w:r>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r w:rsidR="00AB756E">
        <w:rPr>
          <w:rFonts w:ascii="Times New Roman" w:eastAsia="Times New Roman" w:hAnsi="Times New Roman" w:cs="Times New Roman"/>
          <w:sz w:val="24"/>
          <w:szCs w:val="24"/>
          <w:lang w:val="uk-UA" w:eastAsia="ru-RU"/>
        </w:rPr>
        <w:t>язку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адресою: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4.1 Договору адресою,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обов</w:t>
      </w:r>
      <w:r w:rsidR="0052683C" w:rsidRPr="0052683C">
        <w:rPr>
          <w:rFonts w:ascii="Times New Roman" w:eastAsia="Times New Roman" w:hAnsi="Times New Roman" w:cs="Times New Roman"/>
          <w:sz w:val="24"/>
          <w:szCs w:val="24"/>
          <w:lang w:eastAsia="ru-RU"/>
        </w:rPr>
        <w:t>’</w:t>
      </w:r>
      <w:r w:rsidR="0052683C">
        <w:rPr>
          <w:rFonts w:ascii="Times New Roman" w:eastAsia="Times New Roman" w:hAnsi="Times New Roman" w:cs="Times New Roman"/>
          <w:sz w:val="24"/>
          <w:szCs w:val="24"/>
          <w:lang w:val="uk-UA" w:eastAsia="ru-RU"/>
        </w:rPr>
        <w:t>язковим.</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9.3. Сторони зобов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язуються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1024C0B" w14:textId="5F8B0CCC" w:rsidR="009B33F3" w:rsidRDefault="000A7E98"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Начальник Відділу Прозорро.Продажі Департаменту електронних аукціонів</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70B3C0CA"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666401">
              <w:rPr>
                <w:rFonts w:ascii="Times New Roman" w:eastAsia="Times New Roman" w:hAnsi="Times New Roman" w:cs="Times New Roman"/>
                <w:sz w:val="24"/>
                <w:szCs w:val="24"/>
                <w:lang w:val="uk-UA" w:eastAsia="ru-RU"/>
              </w:rPr>
              <w:t xml:space="preserve">___________________ </w:t>
            </w:r>
            <w:r w:rsidR="000A7E98" w:rsidRPr="000A7E98">
              <w:rPr>
                <w:rFonts w:ascii="Times New Roman" w:eastAsia="Times New Roman" w:hAnsi="Times New Roman" w:cs="Times New Roman"/>
                <w:b/>
                <w:bCs/>
                <w:sz w:val="24"/>
                <w:szCs w:val="24"/>
                <w:lang w:val="uk-UA" w:eastAsia="ru-RU"/>
              </w:rPr>
              <w:t>А</w:t>
            </w:r>
            <w:r w:rsidR="006F4E26">
              <w:rPr>
                <w:rFonts w:ascii="Times New Roman" w:eastAsia="Times New Roman" w:hAnsi="Times New Roman" w:cs="Times New Roman"/>
                <w:b/>
                <w:bCs/>
                <w:sz w:val="24"/>
                <w:szCs w:val="24"/>
                <w:lang w:val="uk-UA" w:eastAsia="ru-RU"/>
              </w:rPr>
              <w:t xml:space="preserve">. </w:t>
            </w:r>
            <w:r w:rsidR="000A7E98">
              <w:rPr>
                <w:rFonts w:ascii="Times New Roman" w:eastAsia="Times New Roman" w:hAnsi="Times New Roman" w:cs="Times New Roman"/>
                <w:b/>
                <w:bCs/>
                <w:sz w:val="24"/>
                <w:szCs w:val="24"/>
                <w:lang w:val="uk-UA" w:eastAsia="ru-RU"/>
              </w:rPr>
              <w:t>С</w:t>
            </w:r>
            <w:r w:rsidR="006F4E26">
              <w:rPr>
                <w:rFonts w:ascii="Times New Roman" w:eastAsia="Times New Roman" w:hAnsi="Times New Roman" w:cs="Times New Roman"/>
                <w:b/>
                <w:bCs/>
                <w:sz w:val="24"/>
                <w:szCs w:val="24"/>
                <w:lang w:val="uk-UA" w:eastAsia="ru-RU"/>
              </w:rPr>
              <w:t xml:space="preserve">. </w:t>
            </w:r>
            <w:r w:rsidR="000A7E98">
              <w:rPr>
                <w:rFonts w:ascii="Times New Roman" w:eastAsia="Times New Roman" w:hAnsi="Times New Roman" w:cs="Times New Roman"/>
                <w:b/>
                <w:bCs/>
                <w:sz w:val="24"/>
                <w:szCs w:val="24"/>
                <w:lang w:val="uk-UA" w:eastAsia="ru-RU"/>
              </w:rPr>
              <w:t>Колісник</w:t>
            </w:r>
            <w:bookmarkStart w:id="0" w:name="_GoBack"/>
            <w:bookmarkEnd w:id="0"/>
            <w:r w:rsidRPr="00666401">
              <w:rPr>
                <w:rFonts w:ascii="Times New Roman" w:eastAsia="Times New Roman" w:hAnsi="Times New Roman" w:cs="Times New Roman"/>
                <w:sz w:val="24"/>
                <w:szCs w:val="24"/>
                <w:lang w:val="uk-UA" w:eastAsia="ru-RU"/>
              </w:rPr>
              <w:t xml:space="preserve"> </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33D71B16" w14:textId="77777777"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1E06A3">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F3C52" w14:textId="77777777" w:rsidR="008D6F62" w:rsidRDefault="008D6F62" w:rsidP="009464D5">
      <w:pPr>
        <w:spacing w:after="0" w:line="240" w:lineRule="auto"/>
      </w:pPr>
      <w:r>
        <w:separator/>
      </w:r>
    </w:p>
  </w:endnote>
  <w:endnote w:type="continuationSeparator" w:id="0">
    <w:p w14:paraId="7E9D7DD8" w14:textId="77777777" w:rsidR="008D6F62" w:rsidRDefault="008D6F62"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910CD" w14:textId="77777777" w:rsidR="008D6F62" w:rsidRDefault="008D6F62" w:rsidP="009464D5">
      <w:pPr>
        <w:spacing w:after="0" w:line="240" w:lineRule="auto"/>
      </w:pPr>
      <w:r>
        <w:separator/>
      </w:r>
    </w:p>
  </w:footnote>
  <w:footnote w:type="continuationSeparator" w:id="0">
    <w:p w14:paraId="45ADB26B" w14:textId="77777777" w:rsidR="008D6F62" w:rsidRDefault="008D6F62"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A7E98"/>
    <w:rsid w:val="000E73C9"/>
    <w:rsid w:val="0013392D"/>
    <w:rsid w:val="0014362C"/>
    <w:rsid w:val="001531F7"/>
    <w:rsid w:val="001649D6"/>
    <w:rsid w:val="001A4908"/>
    <w:rsid w:val="001D45DE"/>
    <w:rsid w:val="001E06A3"/>
    <w:rsid w:val="001F02B2"/>
    <w:rsid w:val="00210DA5"/>
    <w:rsid w:val="00251C25"/>
    <w:rsid w:val="00276084"/>
    <w:rsid w:val="0027795A"/>
    <w:rsid w:val="00284E7C"/>
    <w:rsid w:val="002C2A2E"/>
    <w:rsid w:val="002F783F"/>
    <w:rsid w:val="00386154"/>
    <w:rsid w:val="003A26B1"/>
    <w:rsid w:val="003A413E"/>
    <w:rsid w:val="003C49F0"/>
    <w:rsid w:val="003C50E7"/>
    <w:rsid w:val="003C52AA"/>
    <w:rsid w:val="003D482F"/>
    <w:rsid w:val="003F619B"/>
    <w:rsid w:val="004107F0"/>
    <w:rsid w:val="00414334"/>
    <w:rsid w:val="00454A15"/>
    <w:rsid w:val="00497FC3"/>
    <w:rsid w:val="004D0F8C"/>
    <w:rsid w:val="0052683C"/>
    <w:rsid w:val="00565D15"/>
    <w:rsid w:val="005E6188"/>
    <w:rsid w:val="006504F1"/>
    <w:rsid w:val="006C115A"/>
    <w:rsid w:val="006D384E"/>
    <w:rsid w:val="006F4E26"/>
    <w:rsid w:val="007001D2"/>
    <w:rsid w:val="007019ED"/>
    <w:rsid w:val="00715B54"/>
    <w:rsid w:val="00742F17"/>
    <w:rsid w:val="007601CC"/>
    <w:rsid w:val="00781EF2"/>
    <w:rsid w:val="007918DE"/>
    <w:rsid w:val="007A1A55"/>
    <w:rsid w:val="007B192C"/>
    <w:rsid w:val="007B4D75"/>
    <w:rsid w:val="007C5E52"/>
    <w:rsid w:val="007D1C57"/>
    <w:rsid w:val="007D50B3"/>
    <w:rsid w:val="00813F15"/>
    <w:rsid w:val="0083057C"/>
    <w:rsid w:val="00896650"/>
    <w:rsid w:val="008B1B50"/>
    <w:rsid w:val="008D6F62"/>
    <w:rsid w:val="008F60BD"/>
    <w:rsid w:val="00902613"/>
    <w:rsid w:val="00903F69"/>
    <w:rsid w:val="0091640C"/>
    <w:rsid w:val="00931457"/>
    <w:rsid w:val="009408A9"/>
    <w:rsid w:val="009464D5"/>
    <w:rsid w:val="00951AA0"/>
    <w:rsid w:val="00963F8E"/>
    <w:rsid w:val="009771BB"/>
    <w:rsid w:val="00981E41"/>
    <w:rsid w:val="009B33F3"/>
    <w:rsid w:val="009C6795"/>
    <w:rsid w:val="009D032E"/>
    <w:rsid w:val="009D4035"/>
    <w:rsid w:val="00A2313C"/>
    <w:rsid w:val="00A40E14"/>
    <w:rsid w:val="00A57956"/>
    <w:rsid w:val="00AB756E"/>
    <w:rsid w:val="00B92E4B"/>
    <w:rsid w:val="00BA2193"/>
    <w:rsid w:val="00BA574F"/>
    <w:rsid w:val="00BD1CB6"/>
    <w:rsid w:val="00C022F7"/>
    <w:rsid w:val="00C04069"/>
    <w:rsid w:val="00C13B71"/>
    <w:rsid w:val="00C3486F"/>
    <w:rsid w:val="00C74F70"/>
    <w:rsid w:val="00C8299E"/>
    <w:rsid w:val="00C94659"/>
    <w:rsid w:val="00CA493C"/>
    <w:rsid w:val="00CD159D"/>
    <w:rsid w:val="00D11D68"/>
    <w:rsid w:val="00D14D2D"/>
    <w:rsid w:val="00D77238"/>
    <w:rsid w:val="00D92628"/>
    <w:rsid w:val="00D948C2"/>
    <w:rsid w:val="00DA4210"/>
    <w:rsid w:val="00E236D9"/>
    <w:rsid w:val="00E402D5"/>
    <w:rsid w:val="00EC0FEF"/>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9973</Words>
  <Characters>5686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 Матевосян</cp:lastModifiedBy>
  <cp:revision>12</cp:revision>
  <dcterms:created xsi:type="dcterms:W3CDTF">2021-06-01T11:59:00Z</dcterms:created>
  <dcterms:modified xsi:type="dcterms:W3CDTF">2023-06-05T09:06:00Z</dcterms:modified>
</cp:coreProperties>
</file>