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8526361ed5bfc4b3b0d39cf986bbc4405a6ee"/>
      <w:r>
        <w:rPr>
          <w:b/>
        </w:rPr>
        <w:t xml:space="preserve">ПРОТОКОЛ ПРО РЕЗУЛЬТАТИ ЗЕМЕЛЬНИХ ТОРГІВ № LSE001-UA-20220701-85011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03.08.2022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03.08.2022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земельної ділянки комунальної власності по вул. Гагаріна, 102</w:t>
      </w:r>
    </w:p>
    <w:p>
      <w:pPr>
        <w:numPr>
          <w:ilvl w:val="0"/>
          <w:numId w:val="1001"/>
        </w:numPr>
        <w:pStyle w:val="Compact"/>
      </w:pPr>
      <w:r>
        <w:t xml:space="preserve">Продаж права власності земельної ділянки площею 0,1535 га по вул. Гагаріна, 102 (кадастровий номер 7110136700:03:028:0014) в м. Черкаси для будівництва та обслуговування будівель торгівлі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1 938 000,00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56 418,00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564 180,00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"ЮРФАКТОР СЕРВІС", ЄДРПОУ: 39880444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"ПРОЗОРІ ІНВЕСТИЦІЇ", ЄДРПОУ: 42404392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"ПРОЗОРІ ІНВЕСТИЦІЇ"</w:t>
            </w:r>
          </w:p>
        </w:tc>
        <w:tc>
          <w:p>
            <w:pPr>
              <w:pStyle w:val="Compact"/>
              <w:jc w:val="left"/>
            </w:pPr>
            <w:r>
              <w:t xml:space="preserve">1 880 600,00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19:02:58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"ЮРФАКТОР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1 938 000,00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18:49:41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"ПРОЗОРІ ІНВЕСТИЦІЇ"</w:t>
            </w:r>
          </w:p>
        </w:tc>
        <w:tc>
          <w:p>
            <w:pPr>
              <w:pStyle w:val="Compact"/>
              <w:jc w:val="left"/>
            </w:pPr>
            <w:r>
              <w:t xml:space="preserve">1 880 600,00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19:02:58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"ЮРФАКТОР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1 938 000,00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18:49:41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"ПРОЗОРІ ІНВЕСТИЦІЇ"</w:t>
            </w:r>
          </w:p>
        </w:tc>
        <w:tc>
          <w:p>
            <w:pPr>
              <w:pStyle w:val="Compact"/>
              <w:jc w:val="left"/>
            </w:pPr>
            <w:r>
              <w:t xml:space="preserve">1 880 600,00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19:02:58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"ЮРФАКТОР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1 938 000,00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18:49:41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"ПРОЗОРІ ІНВЕСТИЦІЇ"</w:t>
            </w:r>
          </w:p>
        </w:tc>
        <w:tc>
          <w:p>
            <w:pPr>
              <w:pStyle w:val="Compact"/>
              <w:jc w:val="left"/>
            </w:pPr>
            <w:r>
              <w:t xml:space="preserve">1 880 600,00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19:02:58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"ЮРФАКТОР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1 938 000,00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18:49:41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"ЮРФАКТОР СЕРВІС", ЄДРПОУ: 39880444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96 900,00 грн (дев'яносто шість тисяч дев'ятсот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467 280,00 грн (чотириста шістдесят сім тисяч двісті вісімдесят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1 470 720,00 грн (один мільйон чотириста сімдесят тисяч сімсот двадцять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37930566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UA448999980314181941000023759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38715770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UA308201720344221024100086302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03.08.2022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"ЮРФАКТОР СЕРВІС", ЄДРПОУ: 39880444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Департамент архітектури та містобудування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2024-05-05T20:34:07Z</dcterms:created>
  <dcterms:modified xsi:type="dcterms:W3CDTF">2024-05-05T20:34:07Z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