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71cdbb6064c8a15ccb166b396f94b79ed537a"/>
      <w:r>
        <w:rPr>
          <w:b/>
        </w:rPr>
        <w:t xml:space="preserve">ПРОТОКОЛ ЕЛЕКТРОННОГО АУКЦІОНУ № GFD001-UA-20230123-38137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GL18N021999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Договором про відкриття кредитної лінії №06-В/12/37/ЮО від 27.08.2012, укладеним із юридичною особою, із забезпеченням.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Договором про відкриття кредитної лінії №06-В/12/37/ЮО від 27.08.2012, укладеним із юридичною особою, із забезпеченням. 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numPr>
          <w:ilvl w:val="0"/>
          <w:numId w:val="1001"/>
        </w:numPr>
        <w:pStyle w:val="Compact"/>
      </w:pPr>
      <w:r>
        <w:t xml:space="preserve">Забезпечення за Договором про відкриття кредитної лінії №06-В/12/37/ЮО від 27.08.2012:</w:t>
      </w:r>
      <w:r>
        <w:t xml:space="preserve"> </w:t>
      </w:r>
      <w:r>
        <w:t xml:space="preserve">1) Право вимоги на отримання грошової виручки за поставлені товари, яке існує та/або виникне у майбутньому у Заставодавця за договором купівлі-продажу нафтопродуктів, зі змінами та доповненнями до нього, у сумі 30000000,00 грн. Заставодавцем є юридична особа.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77 091 480,84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7 709 148,08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15.02.2023 16:20:30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АТ "МР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АТ "МР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2024-04-27T22:08:09Z</dcterms:created>
  <dcterms:modified xsi:type="dcterms:W3CDTF">2024-04-27T22:08:09Z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