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779db1c317b047b75d017422caef766be351b5"/>
      <w:r>
        <w:rPr>
          <w:b/>
        </w:rPr>
        <w:t xml:space="preserve">ПРОТОКОЛ ПРО РЕЗУЛЬТАТИ ЗЕМЕЛЬНИХ ТОРГІВ № LRE001-UA-20230328-77151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з питань комунального майна та земельних відносин виконавчого комітету Лубенської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02.05.2023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02.05.2023 11:29:02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15,8000 га (рілля) кадастровий номер 5322885400:02:008:0023, яка розташована за межами с. Окіп Лубенського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15,8000 га (рілля) кадастровий номер 5322885400:02:008:0023, яка розташована за межами с. Окіп Лубенського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43 837,08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45 160,00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438,37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13 151,12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"АСАГРО-ЛУБНИ", ЄДРПОУ: 42632355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"МВА ТРАНС", ЄДРПОУ: 41769035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44 300,00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01.05.2023 16:41:02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44 720,00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01.05.2023 15:57:16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44 740,00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11:05:32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45 160,00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11:08:32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44 740,00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11:05:32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45 160,00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11:08:32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44 740,00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11:05:32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"АСАГРО-ЛУБНИ"</w:t>
            </w:r>
          </w:p>
        </w:tc>
        <w:tc>
          <w:p>
            <w:pPr>
              <w:pStyle w:val="Compact"/>
              <w:jc w:val="left"/>
            </w:pPr>
            <w:r>
              <w:t xml:space="preserve">45 160,00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11:08:32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"АСАГРО-ЛУБНИ", ЄДРПОУ: 42632355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2 258,00 грн (дві тисячі двісті п'ятдесят вісім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10 893,12 грн (десять тисяч вісімсот дев'яносто три гривні 12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34 266,88 грн (тридцять чотири тисячі двісті шістдесят шість гривень 88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Лубенська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21053182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UA318999980334119812000016708</w:t>
      </w:r>
    </w:p>
    <w:p>
      <w:pPr>
        <w:numPr>
          <w:ilvl w:val="0"/>
          <w:numId w:val="1004"/>
        </w:numPr>
        <w:pStyle w:val="Compact"/>
      </w:pPr>
      <w:r>
        <w:t xml:space="preserve">Одержувач: Лубенська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21053182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UA738999980334129815000016708</w:t>
      </w:r>
    </w:p>
    <w:p>
      <w:pPr>
        <w:numPr>
          <w:ilvl w:val="0"/>
          <w:numId w:val="1005"/>
        </w:numPr>
        <w:pStyle w:val="Compact"/>
      </w:pPr>
      <w:r>
        <w:t xml:space="preserve">Одержувач: Лубенська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21053182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UA108999980314181941000016708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Товариство з обмеженою відповідальністю «МК ПРОЕКТ+»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44383920</w:t>
      </w:r>
    </w:p>
    <w:p>
      <w:pPr>
        <w:numPr>
          <w:ilvl w:val="0"/>
          <w:numId w:val="1006"/>
        </w:numPr>
        <w:pStyle w:val="Compact"/>
      </w:pPr>
      <w:r>
        <w:t xml:space="preserve">Назва банку: Київське ГРУ ПАТКБ «ПРИВАТБАНК»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UA023052990000026008030118105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02.05.2023 11:29:02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"АСАГРО-ЛУБНИ", ЄДРПОУ: 42632355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з питань комунального майна та земельних відносин виконавчого комітету Лубенської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2024-05-20T21:45:52Z</dcterms:created>
  <dcterms:modified xsi:type="dcterms:W3CDTF">2024-05-20T21:45:52Z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