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e01d61bb31c48f12b247c338a3802e6e75c5b"/>
      <w:r>
        <w:rPr>
          <w:b/>
        </w:rPr>
        <w:t xml:space="preserve">ПРОТОКОЛ ЕЛЕКТРОННОГО АУКЦІОНУ № GFD001-UA-20230526-69799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G3N023868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№24486-ФО/2013/102 від 14.05.2013, укладеним із фізичною особою, із забезпеченням та дебіторська заборгованість за Договором №26209000587240/980/Р від 13.05.2013.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№24486-ФО/2013/102 від 14.05.2013, укладеним із фізичною особою, із забезпеченням та дебіторська заборгованість за Договором №26209000587240/980/Р від 13.05.2013.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№24486-ФО/2013/102 від 14.05.2013:</w:t>
      </w:r>
      <w:r>
        <w:t xml:space="preserve"> </w:t>
      </w:r>
      <w:r>
        <w:t xml:space="preserve">1) однокімнатна квартира, заг. пл. 31,6 кв.м. Фактична адреса місцезнаходження: Київська обл., м. Буча, вул. Нове шосе.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96 772,47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9 677,25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2024-05-08T13:16:46Z</dcterms:created>
  <dcterms:modified xsi:type="dcterms:W3CDTF">2024-05-08T13:16:46Z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