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a79655c12e2fb02335c1677e75d00957a41bea8"/>
      <w:r>
        <w:rPr>
          <w:b/>
        </w:rPr>
        <w:t xml:space="preserve">ПРОТОКОЛ ЕЛЕКТРОННОГО АУКЦІОНУ № CLE001-UA-20240329-35081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UTK230224_10P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Миколаївська обл., м. Вознесенськ, вул. Київська, 11. Оренда – приміщення 1-го поверху, загальною площею 41,0 кв.м. (П)</w:t>
      </w:r>
    </w:p>
    <w:p>
      <w:pPr>
        <w:numPr>
          <w:ilvl w:val="0"/>
          <w:numId w:val="1001"/>
        </w:numPr>
        <w:pStyle w:val="Compact"/>
      </w:pPr>
      <w:r>
        <w:t xml:space="preserve">Пропонується до оренди приміщення 1-го поверху, загальною площею 41,0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2 221,79 грн, у тому числі ПДВ</w:t>
      </w:r>
      <w:r>
        <w:t xml:space="preserve"> </w:t>
      </w:r>
      <w:r>
        <w:t xml:space="preserve">370,30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1 333,07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30.04.2024 20:00:02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2024-05-19T21:53:08Z</dcterms:created>
  <dcterms:modified xsi:type="dcterms:W3CDTF">2024-05-19T21:53:08Z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